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829380">
      <w:pPr>
        <w:spacing w:line="480" w:lineRule="auto"/>
        <w:ind w:firstLine="480" w:firstLineChars="200"/>
        <w:jc w:val="left"/>
        <w:rPr>
          <w:rFonts w:hint="eastAsia" w:ascii="宋体" w:hAnsi="宋体" w:cs="宋体"/>
          <w:kern w:val="0"/>
          <w:sz w:val="24"/>
        </w:rPr>
      </w:pPr>
      <w:r>
        <w:rPr>
          <w:rFonts w:hint="eastAsia" w:ascii="宋体" w:hAnsi="宋体" w:cs="宋体"/>
          <w:kern w:val="0"/>
          <w:sz w:val="24"/>
        </w:rPr>
        <w:t>一、项目概况：广元市利州区2026年山洪灾害防治非工程措施采购项目。</w:t>
      </w:r>
    </w:p>
    <w:p w14:paraId="21E30C88">
      <w:pPr>
        <w:pStyle w:val="5"/>
        <w:wordWrap w:val="0"/>
        <w:topLinePunct/>
        <w:spacing w:line="480" w:lineRule="auto"/>
        <w:ind w:firstLine="480" w:firstLineChars="200"/>
        <w:rPr>
          <w:rFonts w:ascii="宋体" w:hAnsi="宋体" w:cs="宋体"/>
          <w:sz w:val="24"/>
          <w:szCs w:val="24"/>
          <w:lang w:eastAsia="zh-CN"/>
        </w:rPr>
      </w:pPr>
      <w:r>
        <w:rPr>
          <w:rFonts w:ascii="宋体" w:hAnsi="宋体" w:cs="宋体"/>
          <w:sz w:val="24"/>
        </w:rPr>
        <w:t>二、技术参数及配置：</w:t>
      </w:r>
    </w:p>
    <w:tbl>
      <w:tblPr>
        <w:tblStyle w:val="3"/>
        <w:tblW w:w="9418" w:type="dxa"/>
        <w:tblInd w:w="93" w:type="dxa"/>
        <w:tblLayout w:type="fixed"/>
        <w:tblCellMar>
          <w:top w:w="0" w:type="dxa"/>
          <w:left w:w="108" w:type="dxa"/>
          <w:bottom w:w="0" w:type="dxa"/>
          <w:right w:w="108" w:type="dxa"/>
        </w:tblCellMar>
      </w:tblPr>
      <w:tblGrid>
        <w:gridCol w:w="579"/>
        <w:gridCol w:w="854"/>
        <w:gridCol w:w="5762"/>
        <w:gridCol w:w="734"/>
        <w:gridCol w:w="713"/>
        <w:gridCol w:w="776"/>
      </w:tblGrid>
      <w:tr w14:paraId="43CC1FA6">
        <w:tblPrEx>
          <w:tblCellMar>
            <w:top w:w="0" w:type="dxa"/>
            <w:left w:w="108" w:type="dxa"/>
            <w:bottom w:w="0" w:type="dxa"/>
            <w:right w:w="108" w:type="dxa"/>
          </w:tblCellMar>
        </w:tblPrEx>
        <w:trPr>
          <w:trHeight w:val="739" w:hRule="atLeast"/>
        </w:trPr>
        <w:tc>
          <w:tcPr>
            <w:tcW w:w="579" w:type="dxa"/>
            <w:tcBorders>
              <w:top w:val="single" w:color="000000" w:sz="4" w:space="0"/>
              <w:left w:val="single" w:color="000000" w:sz="4" w:space="0"/>
              <w:bottom w:val="single" w:color="000000" w:sz="4" w:space="0"/>
              <w:right w:val="single" w:color="000000" w:sz="4" w:space="0"/>
            </w:tcBorders>
            <w:noWrap/>
            <w:vAlign w:val="center"/>
          </w:tcPr>
          <w:p w14:paraId="0EA2D00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序号</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1BD83DD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产品名称</w:t>
            </w:r>
          </w:p>
        </w:tc>
        <w:tc>
          <w:tcPr>
            <w:tcW w:w="5762" w:type="dxa"/>
            <w:tcBorders>
              <w:top w:val="single" w:color="000000" w:sz="4" w:space="0"/>
              <w:left w:val="single" w:color="000000" w:sz="4" w:space="0"/>
              <w:bottom w:val="single" w:color="000000" w:sz="4" w:space="0"/>
              <w:right w:val="single" w:color="000000" w:sz="4" w:space="0"/>
            </w:tcBorders>
            <w:noWrap/>
            <w:vAlign w:val="center"/>
          </w:tcPr>
          <w:p w14:paraId="6724EA8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技术参数要求</w:t>
            </w:r>
          </w:p>
        </w:tc>
        <w:tc>
          <w:tcPr>
            <w:tcW w:w="734" w:type="dxa"/>
            <w:tcBorders>
              <w:top w:val="single" w:color="000000" w:sz="4" w:space="0"/>
              <w:left w:val="single" w:color="000000" w:sz="4" w:space="0"/>
              <w:bottom w:val="single" w:color="000000" w:sz="4" w:space="0"/>
              <w:right w:val="single" w:color="000000" w:sz="4" w:space="0"/>
            </w:tcBorders>
            <w:noWrap/>
            <w:vAlign w:val="center"/>
          </w:tcPr>
          <w:p w14:paraId="6B0D008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数量</w:t>
            </w:r>
          </w:p>
        </w:tc>
        <w:tc>
          <w:tcPr>
            <w:tcW w:w="713" w:type="dxa"/>
            <w:tcBorders>
              <w:top w:val="single" w:color="000000" w:sz="4" w:space="0"/>
              <w:left w:val="single" w:color="000000" w:sz="4" w:space="0"/>
              <w:bottom w:val="single" w:color="000000" w:sz="4" w:space="0"/>
              <w:right w:val="single" w:color="000000" w:sz="4" w:space="0"/>
            </w:tcBorders>
            <w:noWrap/>
            <w:vAlign w:val="center"/>
          </w:tcPr>
          <w:p w14:paraId="719FA00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单位</w:t>
            </w:r>
          </w:p>
        </w:tc>
        <w:tc>
          <w:tcPr>
            <w:tcW w:w="776" w:type="dxa"/>
            <w:tcBorders>
              <w:top w:val="single" w:color="000000" w:sz="4" w:space="0"/>
              <w:left w:val="single" w:color="000000" w:sz="4" w:space="0"/>
              <w:bottom w:val="single" w:color="000000" w:sz="4" w:space="0"/>
              <w:right w:val="single" w:color="000000" w:sz="4" w:space="0"/>
            </w:tcBorders>
            <w:noWrap/>
            <w:vAlign w:val="center"/>
          </w:tcPr>
          <w:p w14:paraId="3314974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备注</w:t>
            </w:r>
          </w:p>
        </w:tc>
      </w:tr>
      <w:tr w14:paraId="06E0108D">
        <w:tblPrEx>
          <w:tblCellMar>
            <w:top w:w="0" w:type="dxa"/>
            <w:left w:w="108" w:type="dxa"/>
            <w:bottom w:w="0" w:type="dxa"/>
            <w:right w:w="108" w:type="dxa"/>
          </w:tblCellMar>
        </w:tblPrEx>
        <w:trPr>
          <w:trHeight w:val="2239" w:hRule="atLeast"/>
        </w:trPr>
        <w:tc>
          <w:tcPr>
            <w:tcW w:w="579" w:type="dxa"/>
            <w:tcBorders>
              <w:top w:val="single" w:color="000000" w:sz="4" w:space="0"/>
              <w:left w:val="single" w:color="000000" w:sz="4" w:space="0"/>
              <w:bottom w:val="single" w:color="000000" w:sz="4" w:space="0"/>
              <w:right w:val="single" w:color="000000" w:sz="4" w:space="0"/>
            </w:tcBorders>
            <w:noWrap/>
            <w:vAlign w:val="center"/>
          </w:tcPr>
          <w:p w14:paraId="283F1F7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4796A439">
            <w:pPr>
              <w:widowControl/>
              <w:spacing w:line="360" w:lineRule="auto"/>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危险区“两张图”</w:t>
            </w:r>
          </w:p>
        </w:tc>
        <w:tc>
          <w:tcPr>
            <w:tcW w:w="5762" w:type="dxa"/>
            <w:tcBorders>
              <w:top w:val="single" w:color="000000" w:sz="4" w:space="0"/>
              <w:left w:val="single" w:color="000000" w:sz="4" w:space="0"/>
              <w:bottom w:val="single" w:color="000000" w:sz="4" w:space="0"/>
              <w:right w:val="single" w:color="000000" w:sz="4" w:space="0"/>
            </w:tcBorders>
            <w:noWrap w:val="0"/>
            <w:vAlign w:val="center"/>
          </w:tcPr>
          <w:p w14:paraId="64877AEC">
            <w:pPr>
              <w:widowControl/>
              <w:spacing w:line="360" w:lineRule="auto"/>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1.山洪灾害防御宣传栏；</w:t>
            </w:r>
          </w:p>
          <w:p w14:paraId="6DBD39B7">
            <w:pPr>
              <w:widowControl/>
              <w:spacing w:line="360" w:lineRule="auto"/>
              <w:jc w:val="left"/>
              <w:textAlignment w:val="center"/>
              <w:rPr>
                <w:rFonts w:hint="eastAsia" w:ascii="宋体" w:hAnsi="宋体" w:cs="宋体"/>
                <w:color w:val="000000"/>
                <w:kern w:val="0"/>
                <w:sz w:val="22"/>
                <w:szCs w:val="22"/>
                <w:lang w:bidi="ar"/>
              </w:rPr>
            </w:pPr>
            <w:r>
              <w:rPr>
                <w:rFonts w:hint="eastAsia" w:ascii="宋体" w:hAnsi="宋体" w:cs="宋体"/>
                <w:szCs w:val="21"/>
              </w:rPr>
              <w:t>▲</w:t>
            </w:r>
            <w:r>
              <w:rPr>
                <w:rFonts w:hint="eastAsia" w:ascii="宋体" w:hAnsi="宋体" w:cs="宋体"/>
                <w:color w:val="000000"/>
                <w:kern w:val="0"/>
                <w:sz w:val="22"/>
                <w:szCs w:val="22"/>
                <w:lang w:bidi="ar"/>
              </w:rPr>
              <w:t>2.宣传栏应公布当地山洪灾害防御的组织机构、山洪灾害防御示意图、转移路线、避灾安置点以及当地县、乡（镇）防汛指挥机构联系电话等内容，并以浅显易懂、生动有趣、图文并茂的方式宣传山洪灾害防御知识，提升人民群众防灾减灾意识；</w:t>
            </w:r>
          </w:p>
          <w:p w14:paraId="1BCFF9D2">
            <w:pPr>
              <w:widowControl/>
              <w:spacing w:line="360" w:lineRule="auto"/>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3.宣传栏由标题栏、宣传区域、辅助图案、落款栏组成；</w:t>
            </w:r>
          </w:p>
          <w:p w14:paraId="4366431A">
            <w:pPr>
              <w:widowControl/>
              <w:spacing w:line="360" w:lineRule="auto"/>
              <w:jc w:val="left"/>
              <w:textAlignment w:val="center"/>
              <w:rPr>
                <w:rFonts w:hint="eastAsia" w:ascii="宋体" w:hAnsi="宋体" w:cs="宋体"/>
                <w:color w:val="000000"/>
                <w:sz w:val="22"/>
                <w:szCs w:val="22"/>
              </w:rPr>
            </w:pPr>
            <w:r>
              <w:rPr>
                <w:rFonts w:hint="eastAsia" w:ascii="宋体" w:hAnsi="宋体" w:cs="宋体"/>
                <w:szCs w:val="21"/>
              </w:rPr>
              <w:t>▲</w:t>
            </w:r>
            <w:r>
              <w:rPr>
                <w:rFonts w:hint="eastAsia" w:ascii="宋体" w:hAnsi="宋体" w:cs="宋体"/>
                <w:color w:val="000000"/>
                <w:kern w:val="0"/>
                <w:sz w:val="22"/>
                <w:szCs w:val="22"/>
                <w:lang w:bidi="ar"/>
              </w:rPr>
              <w:t>4.尺寸：≥200cm×120cm。</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14:paraId="4C7283A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97</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02D6D57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DBC18CC">
            <w:pPr>
              <w:jc w:val="left"/>
              <w:rPr>
                <w:rFonts w:hint="eastAsia" w:ascii="宋体" w:hAnsi="宋体" w:cs="宋体"/>
                <w:color w:val="000000"/>
                <w:sz w:val="18"/>
                <w:szCs w:val="18"/>
              </w:rPr>
            </w:pPr>
          </w:p>
        </w:tc>
      </w:tr>
      <w:tr w14:paraId="7C33DB48">
        <w:tblPrEx>
          <w:tblCellMar>
            <w:top w:w="0" w:type="dxa"/>
            <w:left w:w="108" w:type="dxa"/>
            <w:bottom w:w="0" w:type="dxa"/>
            <w:right w:w="108" w:type="dxa"/>
          </w:tblCellMar>
        </w:tblPrEx>
        <w:trPr>
          <w:trHeight w:val="3079" w:hRule="atLeast"/>
        </w:trPr>
        <w:tc>
          <w:tcPr>
            <w:tcW w:w="579" w:type="dxa"/>
            <w:tcBorders>
              <w:top w:val="single" w:color="000000" w:sz="4" w:space="0"/>
              <w:left w:val="single" w:color="000000" w:sz="4" w:space="0"/>
              <w:bottom w:val="single" w:color="000000" w:sz="4" w:space="0"/>
              <w:right w:val="single" w:color="000000" w:sz="4" w:space="0"/>
            </w:tcBorders>
            <w:noWrap/>
            <w:vAlign w:val="center"/>
          </w:tcPr>
          <w:p w14:paraId="153DACE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074E9DC">
            <w:pPr>
              <w:widowControl/>
              <w:spacing w:line="360" w:lineRule="auto"/>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预警广播系统</w:t>
            </w:r>
          </w:p>
        </w:tc>
        <w:tc>
          <w:tcPr>
            <w:tcW w:w="5762" w:type="dxa"/>
            <w:tcBorders>
              <w:top w:val="single" w:color="000000" w:sz="4" w:space="0"/>
              <w:left w:val="single" w:color="000000" w:sz="4" w:space="0"/>
              <w:bottom w:val="single" w:color="000000" w:sz="4" w:space="0"/>
              <w:right w:val="single" w:color="000000" w:sz="4" w:space="0"/>
            </w:tcBorders>
            <w:noWrap w:val="0"/>
            <w:vAlign w:val="center"/>
          </w:tcPr>
          <w:p w14:paraId="548710C0">
            <w:pPr>
              <w:widowControl/>
              <w:spacing w:line="360" w:lineRule="auto"/>
              <w:jc w:val="left"/>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1.带播放器有源音柱；</w:t>
            </w:r>
          </w:p>
          <w:p w14:paraId="6BF55910">
            <w:pPr>
              <w:widowControl/>
              <w:spacing w:line="360" w:lineRule="auto"/>
              <w:jc w:val="left"/>
              <w:textAlignment w:val="center"/>
              <w:rPr>
                <w:rFonts w:ascii="宋体" w:hAnsi="宋体" w:cs="宋体"/>
                <w:color w:val="000000"/>
                <w:kern w:val="0"/>
                <w:sz w:val="22"/>
                <w:szCs w:val="22"/>
                <w:lang w:bidi="ar"/>
              </w:rPr>
            </w:pPr>
            <w:r>
              <w:rPr>
                <w:rFonts w:hint="eastAsia" w:ascii="宋体" w:hAnsi="宋体" w:cs="宋体"/>
                <w:szCs w:val="21"/>
              </w:rPr>
              <w:t>▲</w:t>
            </w:r>
            <w:r>
              <w:rPr>
                <w:rFonts w:hint="eastAsia" w:ascii="宋体" w:hAnsi="宋体" w:cs="宋体"/>
                <w:color w:val="000000"/>
                <w:kern w:val="0"/>
                <w:sz w:val="22"/>
                <w:szCs w:val="22"/>
                <w:lang w:bidi="ar"/>
              </w:rPr>
              <w:t>2.信号源：内置TF卡播放器（预置音频文件）；</w:t>
            </w:r>
          </w:p>
          <w:p w14:paraId="1E2F212C">
            <w:pPr>
              <w:widowControl/>
              <w:spacing w:line="360" w:lineRule="auto"/>
              <w:jc w:val="left"/>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3.额定功率：20W（ClassD类）；</w:t>
            </w:r>
          </w:p>
          <w:p w14:paraId="042E6660">
            <w:pPr>
              <w:widowControl/>
              <w:spacing w:line="360" w:lineRule="auto"/>
              <w:jc w:val="left"/>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4.喇叭单元：5寸低音+3寸号角高音单元；</w:t>
            </w:r>
          </w:p>
          <w:p w14:paraId="5EA464AD">
            <w:pPr>
              <w:widowControl/>
              <w:spacing w:line="360" w:lineRule="auto"/>
              <w:jc w:val="left"/>
              <w:textAlignment w:val="center"/>
              <w:rPr>
                <w:rFonts w:ascii="宋体" w:hAnsi="宋体" w:cs="宋体"/>
                <w:color w:val="000000"/>
                <w:kern w:val="0"/>
                <w:sz w:val="22"/>
                <w:szCs w:val="22"/>
                <w:lang w:bidi="ar"/>
              </w:rPr>
            </w:pPr>
            <w:r>
              <w:rPr>
                <w:rFonts w:hint="eastAsia" w:ascii="宋体" w:hAnsi="宋体" w:cs="宋体"/>
                <w:szCs w:val="21"/>
              </w:rPr>
              <w:t>▲</w:t>
            </w:r>
            <w:r>
              <w:rPr>
                <w:rFonts w:hint="eastAsia" w:ascii="宋体" w:hAnsi="宋体" w:cs="宋体"/>
                <w:color w:val="000000"/>
                <w:kern w:val="0"/>
                <w:sz w:val="22"/>
                <w:szCs w:val="22"/>
                <w:lang w:bidi="ar"/>
              </w:rPr>
              <w:t xml:space="preserve">5.控制方式：定制开光控制； </w:t>
            </w:r>
          </w:p>
          <w:p w14:paraId="58E990C4">
            <w:pPr>
              <w:widowControl/>
              <w:spacing w:line="360" w:lineRule="auto"/>
              <w:jc w:val="left"/>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6.雷达开关；</w:t>
            </w:r>
          </w:p>
          <w:p w14:paraId="791180C7">
            <w:pPr>
              <w:widowControl/>
              <w:spacing w:line="360" w:lineRule="auto"/>
              <w:jc w:val="left"/>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7.供电：直流12-48V；</w:t>
            </w:r>
          </w:p>
          <w:p w14:paraId="6063DF6E">
            <w:pPr>
              <w:widowControl/>
              <w:spacing w:line="360" w:lineRule="auto"/>
              <w:jc w:val="left"/>
              <w:textAlignment w:val="center"/>
              <w:rPr>
                <w:rFonts w:ascii="宋体" w:hAnsi="宋体" w:cs="宋体"/>
                <w:color w:val="000000"/>
                <w:kern w:val="0"/>
                <w:sz w:val="22"/>
                <w:szCs w:val="22"/>
                <w:lang w:bidi="ar"/>
              </w:rPr>
            </w:pPr>
            <w:r>
              <w:rPr>
                <w:rFonts w:hint="eastAsia" w:ascii="宋体" w:hAnsi="宋体" w:cs="宋体"/>
                <w:szCs w:val="21"/>
              </w:rPr>
              <w:t>▲</w:t>
            </w:r>
            <w:r>
              <w:rPr>
                <w:rFonts w:hint="eastAsia" w:ascii="宋体" w:hAnsi="宋体" w:cs="宋体"/>
                <w:color w:val="000000"/>
                <w:kern w:val="0"/>
                <w:sz w:val="22"/>
                <w:szCs w:val="22"/>
                <w:lang w:bidi="ar"/>
              </w:rPr>
              <w:t>8.感应方式：物体位移；</w:t>
            </w:r>
          </w:p>
          <w:p w14:paraId="50B01909">
            <w:pPr>
              <w:widowControl/>
              <w:spacing w:line="360" w:lineRule="auto"/>
              <w:jc w:val="left"/>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9.感应距离：6-12米；</w:t>
            </w:r>
          </w:p>
          <w:p w14:paraId="1A568417">
            <w:pPr>
              <w:widowControl/>
              <w:spacing w:line="360" w:lineRule="auto"/>
              <w:jc w:val="left"/>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10.太阳能供电系统；</w:t>
            </w:r>
          </w:p>
          <w:p w14:paraId="54657A46">
            <w:pPr>
              <w:widowControl/>
              <w:spacing w:line="360" w:lineRule="auto"/>
              <w:jc w:val="left"/>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11.锂电池：60AH；</w:t>
            </w:r>
          </w:p>
          <w:p w14:paraId="300F326D">
            <w:pPr>
              <w:widowControl/>
              <w:spacing w:line="360" w:lineRule="auto"/>
              <w:jc w:val="left"/>
              <w:textAlignment w:val="center"/>
              <w:rPr>
                <w:rFonts w:ascii="宋体" w:hAnsi="宋体" w:cs="宋体"/>
                <w:color w:val="000000"/>
                <w:kern w:val="0"/>
                <w:sz w:val="22"/>
                <w:szCs w:val="22"/>
                <w:lang w:bidi="ar"/>
              </w:rPr>
            </w:pPr>
            <w:r>
              <w:rPr>
                <w:rFonts w:hint="eastAsia" w:ascii="宋体" w:hAnsi="宋体" w:cs="宋体"/>
                <w:szCs w:val="21"/>
              </w:rPr>
              <w:t>▲</w:t>
            </w:r>
            <w:r>
              <w:rPr>
                <w:rFonts w:hint="eastAsia" w:ascii="宋体" w:hAnsi="宋体" w:cs="宋体"/>
                <w:color w:val="000000"/>
                <w:kern w:val="0"/>
                <w:sz w:val="22"/>
                <w:szCs w:val="22"/>
                <w:lang w:bidi="ar"/>
              </w:rPr>
              <w:t>12.太阳能板：80瓦单晶硅高性能板；</w:t>
            </w:r>
          </w:p>
          <w:p w14:paraId="6C291B2B">
            <w:pPr>
              <w:widowControl/>
              <w:spacing w:line="360" w:lineRule="auto"/>
              <w:jc w:val="left"/>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13.控制器：MPPT控制系统；</w:t>
            </w:r>
          </w:p>
          <w:p w14:paraId="481FD745">
            <w:pPr>
              <w:widowControl/>
              <w:spacing w:line="360" w:lineRule="auto"/>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14.支架：定制专用安装金属支架</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14:paraId="02BC502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F8CEE5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套</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04B1856">
            <w:pPr>
              <w:jc w:val="left"/>
              <w:rPr>
                <w:rFonts w:hint="eastAsia" w:ascii="宋体" w:hAnsi="宋体" w:cs="宋体"/>
                <w:color w:val="000000"/>
                <w:sz w:val="18"/>
                <w:szCs w:val="18"/>
              </w:rPr>
            </w:pPr>
          </w:p>
        </w:tc>
      </w:tr>
      <w:tr w14:paraId="32C8DCB3">
        <w:tblPrEx>
          <w:tblCellMar>
            <w:top w:w="0" w:type="dxa"/>
            <w:left w:w="108" w:type="dxa"/>
            <w:bottom w:w="0" w:type="dxa"/>
            <w:right w:w="108" w:type="dxa"/>
          </w:tblCellMar>
        </w:tblPrEx>
        <w:trPr>
          <w:trHeight w:val="1423" w:hRule="atLeast"/>
        </w:trPr>
        <w:tc>
          <w:tcPr>
            <w:tcW w:w="579" w:type="dxa"/>
            <w:tcBorders>
              <w:top w:val="single" w:color="000000" w:sz="4" w:space="0"/>
              <w:left w:val="single" w:color="000000" w:sz="4" w:space="0"/>
              <w:bottom w:val="single" w:color="000000" w:sz="4" w:space="0"/>
              <w:right w:val="single" w:color="000000" w:sz="4" w:space="0"/>
            </w:tcBorders>
            <w:noWrap/>
            <w:vAlign w:val="center"/>
          </w:tcPr>
          <w:p w14:paraId="4A40EB4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62284831">
            <w:pPr>
              <w:widowControl/>
              <w:spacing w:line="360" w:lineRule="auto"/>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应急照明灯</w:t>
            </w:r>
          </w:p>
        </w:tc>
        <w:tc>
          <w:tcPr>
            <w:tcW w:w="5762" w:type="dxa"/>
            <w:tcBorders>
              <w:top w:val="single" w:color="000000" w:sz="4" w:space="0"/>
              <w:left w:val="single" w:color="000000" w:sz="4" w:space="0"/>
              <w:bottom w:val="single" w:color="000000" w:sz="4" w:space="0"/>
              <w:right w:val="single" w:color="000000" w:sz="4" w:space="0"/>
            </w:tcBorders>
            <w:noWrap w:val="0"/>
            <w:vAlign w:val="center"/>
          </w:tcPr>
          <w:p w14:paraId="4E356987">
            <w:pPr>
              <w:widowControl/>
              <w:spacing w:line="360" w:lineRule="auto"/>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配备可伸缩升降杆、支腿可适应非水平地面、光源类型LED、续航时间10-15h（含）、电源类型锂电池、防水等级IPX6可调俯仰角度灯头，抗风等级达8级。</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14:paraId="7203664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18</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5298062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盏</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53FA6BC">
            <w:pPr>
              <w:rPr>
                <w:rFonts w:hint="eastAsia" w:ascii="宋体" w:hAnsi="宋体" w:cs="宋体"/>
                <w:color w:val="000000"/>
                <w:sz w:val="18"/>
                <w:szCs w:val="18"/>
              </w:rPr>
            </w:pPr>
          </w:p>
        </w:tc>
      </w:tr>
      <w:tr w14:paraId="7BF87079">
        <w:tblPrEx>
          <w:tblCellMar>
            <w:top w:w="0" w:type="dxa"/>
            <w:left w:w="108" w:type="dxa"/>
            <w:bottom w:w="0" w:type="dxa"/>
            <w:right w:w="108" w:type="dxa"/>
          </w:tblCellMar>
        </w:tblPrEx>
        <w:trPr>
          <w:trHeight w:val="2502" w:hRule="atLeast"/>
        </w:trPr>
        <w:tc>
          <w:tcPr>
            <w:tcW w:w="579" w:type="dxa"/>
            <w:tcBorders>
              <w:top w:val="single" w:color="000000" w:sz="4" w:space="0"/>
              <w:left w:val="single" w:color="000000" w:sz="4" w:space="0"/>
              <w:bottom w:val="single" w:color="000000" w:sz="4" w:space="0"/>
              <w:right w:val="single" w:color="000000" w:sz="4" w:space="0"/>
            </w:tcBorders>
            <w:noWrap/>
            <w:vAlign w:val="center"/>
          </w:tcPr>
          <w:p w14:paraId="3BC8687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71AC79F4">
            <w:pPr>
              <w:widowControl/>
              <w:spacing w:line="360" w:lineRule="auto"/>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反光背心</w:t>
            </w:r>
          </w:p>
        </w:tc>
        <w:tc>
          <w:tcPr>
            <w:tcW w:w="5762" w:type="dxa"/>
            <w:tcBorders>
              <w:top w:val="single" w:color="000000" w:sz="4" w:space="0"/>
              <w:left w:val="single" w:color="000000" w:sz="4" w:space="0"/>
              <w:bottom w:val="single" w:color="000000" w:sz="4" w:space="0"/>
              <w:right w:val="single" w:color="000000" w:sz="4" w:space="0"/>
            </w:tcBorders>
            <w:noWrap w:val="0"/>
            <w:vAlign w:val="center"/>
          </w:tcPr>
          <w:p w14:paraId="1B4CDE51">
            <w:pPr>
              <w:widowControl/>
              <w:spacing w:line="360" w:lineRule="auto"/>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1.无袖马甲款式，魔术贴开合，可调节；</w:t>
            </w:r>
          </w:p>
          <w:p w14:paraId="52B7B390">
            <w:pPr>
              <w:widowControl/>
              <w:spacing w:line="360" w:lineRule="auto"/>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2.面料为高密涤纶，克重≥120g/㎡；</w:t>
            </w:r>
          </w:p>
          <w:p w14:paraId="5F4D227F">
            <w:pPr>
              <w:widowControl/>
              <w:spacing w:line="360" w:lineRule="auto"/>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3.荧光黄基底，亮度因子≥0.7；</w:t>
            </w:r>
          </w:p>
          <w:p w14:paraId="7409E4A4">
            <w:pPr>
              <w:widowControl/>
              <w:spacing w:line="360" w:lineRule="auto"/>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4.反光条宽度≥50mm，晶格高亮，初始逆反射系数≥330cd/(lx・m²)；</w:t>
            </w:r>
          </w:p>
          <w:p w14:paraId="05F28653">
            <w:pPr>
              <w:widowControl/>
              <w:spacing w:line="360" w:lineRule="auto"/>
              <w:jc w:val="left"/>
              <w:textAlignment w:val="center"/>
              <w:rPr>
                <w:rFonts w:hint="eastAsia" w:ascii="宋体" w:hAnsi="宋体" w:cs="宋体"/>
                <w:color w:val="000000"/>
                <w:kern w:val="0"/>
                <w:sz w:val="22"/>
                <w:szCs w:val="22"/>
                <w:lang w:bidi="ar"/>
              </w:rPr>
            </w:pPr>
            <w:r>
              <w:rPr>
                <w:rFonts w:hint="eastAsia" w:ascii="宋体" w:hAnsi="宋体" w:cs="宋体"/>
                <w:szCs w:val="21"/>
              </w:rPr>
              <w:t>▲</w:t>
            </w:r>
            <w:r>
              <w:rPr>
                <w:rFonts w:hint="eastAsia" w:ascii="宋体" w:hAnsi="宋体" w:cs="宋体"/>
                <w:color w:val="000000"/>
                <w:kern w:val="0"/>
                <w:sz w:val="22"/>
                <w:szCs w:val="22"/>
                <w:lang w:bidi="ar"/>
              </w:rPr>
              <w:t>5.水洗15次反光性能保留≥80%，反光带不脱落翘边；</w:t>
            </w:r>
          </w:p>
          <w:p w14:paraId="32E35DEA">
            <w:pPr>
              <w:widowControl/>
              <w:spacing w:line="360" w:lineRule="auto"/>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6.面料断裂强力经纬≥250N，耐泥水雨淋；</w:t>
            </w:r>
          </w:p>
          <w:p w14:paraId="74BFCB55">
            <w:pPr>
              <w:widowControl/>
              <w:spacing w:line="360" w:lineRule="auto"/>
              <w:jc w:val="left"/>
              <w:textAlignment w:val="center"/>
              <w:rPr>
                <w:rFonts w:hint="eastAsia" w:ascii="宋体" w:hAnsi="宋体" w:cs="宋体"/>
                <w:color w:val="000000"/>
                <w:sz w:val="22"/>
                <w:szCs w:val="22"/>
              </w:rPr>
            </w:pPr>
            <w:r>
              <w:rPr>
                <w:rFonts w:hint="eastAsia" w:ascii="宋体" w:hAnsi="宋体" w:cs="宋体"/>
                <w:szCs w:val="21"/>
              </w:rPr>
              <w:t>▲</w:t>
            </w:r>
            <w:r>
              <w:rPr>
                <w:rFonts w:hint="eastAsia" w:ascii="宋体" w:hAnsi="宋体" w:cs="宋体"/>
                <w:color w:val="000000"/>
                <w:kern w:val="0"/>
                <w:sz w:val="22"/>
                <w:szCs w:val="22"/>
                <w:lang w:bidi="ar"/>
              </w:rPr>
              <w:t>7.M～4XL多尺码配比，印制“利州</w:t>
            </w:r>
            <w:r>
              <w:rPr>
                <w:rFonts w:hint="eastAsia" w:ascii="宋体" w:hAnsi="宋体" w:cs="宋体"/>
                <w:color w:val="000000"/>
                <w:kern w:val="0"/>
                <w:sz w:val="22"/>
                <w:szCs w:val="22"/>
                <w:lang w:val="en-US" w:eastAsia="zh-CN" w:bidi="ar"/>
              </w:rPr>
              <w:t>水利</w:t>
            </w:r>
            <w:r>
              <w:rPr>
                <w:rFonts w:hint="eastAsia" w:ascii="宋体" w:hAnsi="宋体" w:cs="宋体"/>
                <w:color w:val="000000"/>
                <w:kern w:val="0"/>
                <w:sz w:val="22"/>
                <w:szCs w:val="22"/>
                <w:lang w:bidi="ar"/>
              </w:rPr>
              <w:t>”标识。</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14:paraId="7F51002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50</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532275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件</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A7B11B5">
            <w:pPr>
              <w:rPr>
                <w:rFonts w:hint="eastAsia" w:ascii="宋体" w:hAnsi="宋体" w:cs="宋体"/>
                <w:color w:val="000000"/>
                <w:sz w:val="18"/>
                <w:szCs w:val="18"/>
              </w:rPr>
            </w:pPr>
          </w:p>
        </w:tc>
      </w:tr>
    </w:tbl>
    <w:p w14:paraId="21CFA2DF">
      <w:pPr>
        <w:pStyle w:val="5"/>
        <w:spacing w:line="360" w:lineRule="auto"/>
        <w:ind w:firstLine="480" w:firstLineChars="200"/>
        <w:rPr>
          <w:rFonts w:ascii="宋体" w:hAnsi="宋体" w:cs="宋体"/>
          <w:sz w:val="24"/>
        </w:rPr>
      </w:pPr>
    </w:p>
    <w:p w14:paraId="4B54EBB8">
      <w:pPr>
        <w:spacing w:line="480" w:lineRule="auto"/>
        <w:ind w:firstLine="480" w:firstLineChars="200"/>
        <w:jc w:val="left"/>
        <w:rPr>
          <w:rFonts w:hint="eastAsia" w:ascii="宋体" w:hAnsi="宋体" w:cs="宋体"/>
          <w:sz w:val="24"/>
        </w:rPr>
      </w:pPr>
      <w:r>
        <w:rPr>
          <w:rFonts w:hint="eastAsia" w:ascii="宋体" w:hAnsi="宋体" w:cs="宋体"/>
          <w:sz w:val="24"/>
        </w:rPr>
        <w:t>★三、技术要求：</w:t>
      </w:r>
    </w:p>
    <w:p w14:paraId="7480388E">
      <w:pPr>
        <w:pStyle w:val="5"/>
        <w:spacing w:line="480" w:lineRule="auto"/>
        <w:ind w:firstLine="480" w:firstLineChars="200"/>
        <w:rPr>
          <w:rFonts w:ascii="宋体" w:hAnsi="宋体" w:cs="宋体"/>
          <w:sz w:val="24"/>
          <w:szCs w:val="24"/>
          <w:lang w:eastAsia="zh-CN"/>
        </w:rPr>
      </w:pPr>
      <w:r>
        <w:rPr>
          <w:rFonts w:ascii="宋体" w:hAnsi="宋体" w:cs="宋体"/>
          <w:sz w:val="24"/>
          <w:szCs w:val="24"/>
          <w:lang w:eastAsia="zh-CN"/>
        </w:rPr>
        <w:t>1.成交供应商提供的货物是合格的全新产品，符合或优于国家（行业）现行相关标准，满足本项目采购文件的质量要求和技术指标与出厂标准。如因提供伪劣产品或产品质量不符合本次采购项目要求所导致的一切后果和责任由成交供应商自行承担，并按照相关规定给予处理。</w:t>
      </w:r>
    </w:p>
    <w:p w14:paraId="207E747A">
      <w:pPr>
        <w:pStyle w:val="5"/>
        <w:spacing w:line="480" w:lineRule="auto"/>
        <w:ind w:firstLine="480" w:firstLineChars="200"/>
        <w:rPr>
          <w:rFonts w:ascii="宋体" w:hAnsi="宋体" w:cs="宋体"/>
          <w:sz w:val="24"/>
          <w:szCs w:val="24"/>
          <w:lang w:eastAsia="zh-CN"/>
        </w:rPr>
      </w:pPr>
      <w:r>
        <w:rPr>
          <w:rFonts w:ascii="宋体" w:hAnsi="宋体" w:cs="宋体"/>
          <w:sz w:val="24"/>
          <w:szCs w:val="24"/>
          <w:lang w:eastAsia="zh-CN"/>
        </w:rPr>
        <w:t>2.成交供应商应按采购文件规定的时间及质量要求交货，货物在送到使用单位时货物的表面无划伤、磨损、磕碰伤等现象，并提供产品质量检验合格证、说明书及其它配套资料等。</w:t>
      </w:r>
    </w:p>
    <w:p w14:paraId="6DFFBEAC">
      <w:pPr>
        <w:spacing w:line="480" w:lineRule="auto"/>
        <w:ind w:firstLine="480" w:firstLineChars="200"/>
        <w:jc w:val="left"/>
        <w:rPr>
          <w:rFonts w:hint="eastAsia" w:ascii="宋体" w:hAnsi="宋体" w:cs="宋体"/>
          <w:sz w:val="24"/>
        </w:rPr>
      </w:pPr>
      <w:r>
        <w:rPr>
          <w:rFonts w:hint="eastAsia" w:ascii="宋体" w:hAnsi="宋体" w:cs="宋体"/>
          <w:sz w:val="24"/>
        </w:rPr>
        <w:t>3.供应商应保证在本项目使用的任何产品和服务（包括部分使用）时，不会产生因第三方提出侵犯其专利权、商标权或其它知识产权而引起的法律和经济纠纷，并在其他响应性文件中单独提供承诺函，如因专利权、商标权或其它知识产权而引起法律和经济纠纷，由供应商承担所有相关责任。</w:t>
      </w:r>
    </w:p>
    <w:p w14:paraId="4ADCB966">
      <w:pPr>
        <w:spacing w:line="480" w:lineRule="auto"/>
        <w:ind w:firstLine="480" w:firstLineChars="200"/>
        <w:rPr>
          <w:rFonts w:hint="eastAsia" w:ascii="宋体" w:hAnsi="宋体" w:cs="宋体"/>
          <w:bCs/>
          <w:sz w:val="24"/>
        </w:rPr>
      </w:pPr>
      <w:r>
        <w:rPr>
          <w:rFonts w:hint="eastAsia" w:ascii="宋体" w:hAnsi="宋体" w:cs="宋体"/>
          <w:bCs/>
          <w:sz w:val="24"/>
        </w:rPr>
        <w:t>4.成交供应商在项目实施过程中产生的安全问题由供应商自行承担。</w:t>
      </w:r>
    </w:p>
    <w:p w14:paraId="4D7DD1BC">
      <w:pPr>
        <w:spacing w:line="480" w:lineRule="auto"/>
        <w:ind w:firstLine="480" w:firstLineChars="200"/>
        <w:jc w:val="left"/>
        <w:rPr>
          <w:rFonts w:hint="eastAsia" w:ascii="宋体" w:hAnsi="宋体" w:cs="宋体"/>
          <w:sz w:val="24"/>
        </w:rPr>
      </w:pPr>
      <w:r>
        <w:rPr>
          <w:rFonts w:hint="eastAsia" w:ascii="宋体" w:hAnsi="宋体" w:cs="宋体"/>
          <w:sz w:val="24"/>
        </w:rPr>
        <w:t>5.</w:t>
      </w:r>
      <w:r>
        <w:rPr>
          <w:rFonts w:hint="eastAsia" w:ascii="宋体" w:hAnsi="宋体" w:cs="宋体"/>
          <w:bCs/>
          <w:sz w:val="24"/>
        </w:rPr>
        <w:t>成交供应商</w:t>
      </w:r>
      <w:r>
        <w:rPr>
          <w:rFonts w:hint="eastAsia" w:ascii="宋体" w:hAnsi="宋体" w:cs="宋体"/>
          <w:sz w:val="24"/>
        </w:rPr>
        <w:t>应为被服务对象提供免费技术指导服务。主要指导内容为设备及系统的基本结构、性能、主要部件的构造，日常使用操作、维护、保养与管理、常见故障的排除、紧急情况的处理等。</w:t>
      </w:r>
    </w:p>
    <w:p w14:paraId="27FC96A4">
      <w:pPr>
        <w:spacing w:line="480" w:lineRule="auto"/>
        <w:ind w:firstLine="480" w:firstLineChars="200"/>
        <w:jc w:val="left"/>
        <w:rPr>
          <w:rFonts w:hint="eastAsia" w:ascii="宋体" w:hAnsi="宋体" w:cs="宋体"/>
          <w:sz w:val="24"/>
        </w:rPr>
      </w:pPr>
      <w:r>
        <w:rPr>
          <w:rFonts w:hint="eastAsia" w:ascii="宋体" w:hAnsi="宋体" w:cs="宋体"/>
          <w:sz w:val="24"/>
        </w:rPr>
        <w:t>四、商务要求：</w:t>
      </w:r>
    </w:p>
    <w:p w14:paraId="56DE6A5C">
      <w:pPr>
        <w:spacing w:line="480" w:lineRule="auto"/>
        <w:ind w:firstLine="480" w:firstLineChars="200"/>
        <w:jc w:val="left"/>
        <w:rPr>
          <w:rFonts w:hint="eastAsia" w:ascii="宋体" w:hAnsi="宋体" w:cs="宋体"/>
          <w:sz w:val="24"/>
        </w:rPr>
      </w:pPr>
      <w:r>
        <w:rPr>
          <w:rFonts w:hint="eastAsia" w:ascii="宋体" w:hAnsi="宋体" w:cs="宋体"/>
          <w:sz w:val="24"/>
        </w:rPr>
        <w:t>1.交货期：签订合同后30日内完成交货和安装并通过采购人验收使用。</w:t>
      </w:r>
    </w:p>
    <w:p w14:paraId="339AA6B1">
      <w:pPr>
        <w:spacing w:line="480" w:lineRule="auto"/>
        <w:ind w:firstLine="480" w:firstLineChars="200"/>
        <w:jc w:val="left"/>
        <w:rPr>
          <w:rFonts w:hint="eastAsia" w:ascii="宋体" w:hAnsi="宋体" w:cs="宋体"/>
          <w:sz w:val="24"/>
        </w:rPr>
      </w:pPr>
      <w:r>
        <w:rPr>
          <w:rFonts w:hint="eastAsia" w:ascii="宋体" w:hAnsi="宋体" w:cs="宋体"/>
          <w:sz w:val="24"/>
        </w:rPr>
        <w:t>2.交货地点: 广元市利州区水利局。</w:t>
      </w:r>
    </w:p>
    <w:p w14:paraId="42B1281A">
      <w:pPr>
        <w:spacing w:line="480" w:lineRule="auto"/>
        <w:ind w:firstLine="480" w:firstLineChars="200"/>
        <w:jc w:val="left"/>
        <w:rPr>
          <w:rFonts w:hint="eastAsia" w:ascii="宋体" w:hAnsi="宋体" w:cs="宋体"/>
          <w:sz w:val="24"/>
        </w:rPr>
      </w:pPr>
      <w:r>
        <w:rPr>
          <w:rFonts w:hint="eastAsia" w:ascii="宋体" w:hAnsi="宋体" w:cs="宋体"/>
          <w:sz w:val="24"/>
        </w:rPr>
        <w:t>3.支付方式：合同签订后预付合同金额30%，验收合格后成交供应商凭全额有效发票，采购人支付合同价款的70%。</w:t>
      </w:r>
    </w:p>
    <w:p w14:paraId="14DC0E6A">
      <w:pPr>
        <w:pStyle w:val="2"/>
        <w:keepNext w:val="0"/>
        <w:keepLines w:val="0"/>
        <w:spacing w:before="0" w:after="0" w:line="48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5.验收：采购人将严格按照政府采购相关法律法规以及《财政部关于进一步加强政府采购需求和履约验收管理的指导意见》财库【2016】205文件要求、磋商文件规定的要求和响应文件及合同承诺的内容进行验收。</w:t>
      </w:r>
    </w:p>
    <w:p w14:paraId="1DBB9384">
      <w:pPr>
        <w:spacing w:line="480" w:lineRule="auto"/>
        <w:ind w:firstLine="480" w:firstLineChars="200"/>
        <w:jc w:val="left"/>
        <w:rPr>
          <w:rFonts w:hint="eastAsia" w:ascii="宋体" w:hAnsi="宋体" w:cs="宋体"/>
          <w:sz w:val="24"/>
        </w:rPr>
      </w:pPr>
      <w:r>
        <w:rPr>
          <w:rFonts w:hint="eastAsia" w:ascii="宋体" w:hAnsi="宋体" w:cs="宋体"/>
          <w:sz w:val="24"/>
        </w:rPr>
        <w:t>★5.供应商的报价应包括货物成本、货物运输、人工、安装、调试、培训、利润、税费等完成本项目所需的一切费用，采购人不再支付其他任何费用。</w:t>
      </w:r>
    </w:p>
    <w:p w14:paraId="70A9912A">
      <w:pPr>
        <w:spacing w:line="480" w:lineRule="auto"/>
        <w:ind w:firstLine="480" w:firstLineChars="200"/>
        <w:jc w:val="left"/>
        <w:rPr>
          <w:rFonts w:hint="eastAsia" w:ascii="宋体" w:hAnsi="宋体" w:cs="宋体"/>
          <w:sz w:val="24"/>
        </w:rPr>
      </w:pPr>
      <w:r>
        <w:rPr>
          <w:rFonts w:hint="eastAsia" w:ascii="宋体" w:hAnsi="宋体" w:cs="宋体"/>
          <w:sz w:val="24"/>
        </w:rPr>
        <w:t>6.质保及售后服务要求：</w:t>
      </w:r>
    </w:p>
    <w:p w14:paraId="0C92CAD4">
      <w:pPr>
        <w:pStyle w:val="5"/>
        <w:spacing w:line="480" w:lineRule="auto"/>
        <w:ind w:firstLine="480" w:firstLineChars="200"/>
        <w:rPr>
          <w:rFonts w:ascii="宋体" w:hAnsi="宋体" w:cs="宋体"/>
          <w:sz w:val="24"/>
          <w:szCs w:val="24"/>
        </w:rPr>
      </w:pPr>
      <w:r>
        <w:rPr>
          <w:rFonts w:ascii="宋体" w:hAnsi="宋体" w:cs="宋体"/>
          <w:sz w:val="24"/>
          <w:szCs w:val="24"/>
          <w:lang w:eastAsia="zh-CN"/>
        </w:rPr>
        <w:t>6</w:t>
      </w:r>
      <w:r>
        <w:rPr>
          <w:rFonts w:ascii="宋体" w:hAnsi="宋体" w:cs="宋体"/>
          <w:sz w:val="24"/>
          <w:szCs w:val="24"/>
        </w:rPr>
        <w:t>.1质保期：</w:t>
      </w:r>
      <w:r>
        <w:rPr>
          <w:rFonts w:ascii="宋体" w:hAnsi="宋体" w:cs="宋体"/>
          <w:sz w:val="24"/>
          <w:szCs w:val="24"/>
          <w:lang w:eastAsia="zh-CN"/>
        </w:rPr>
        <w:t>本项目所有货物1</w:t>
      </w:r>
      <w:r>
        <w:rPr>
          <w:rFonts w:ascii="宋体" w:hAnsi="宋体" w:cs="宋体"/>
          <w:sz w:val="24"/>
          <w:szCs w:val="24"/>
        </w:rPr>
        <w:t>年 (质保期为验收合格之日起开始计算)。</w:t>
      </w:r>
    </w:p>
    <w:p w14:paraId="55138172">
      <w:pPr>
        <w:pStyle w:val="5"/>
        <w:spacing w:line="480" w:lineRule="auto"/>
        <w:ind w:firstLine="480" w:firstLineChars="200"/>
        <w:rPr>
          <w:rFonts w:ascii="宋体" w:hAnsi="宋体" w:cs="宋体"/>
          <w:sz w:val="24"/>
          <w:szCs w:val="24"/>
        </w:rPr>
      </w:pPr>
      <w:r>
        <w:rPr>
          <w:rFonts w:ascii="宋体" w:hAnsi="宋体" w:cs="宋体"/>
          <w:sz w:val="24"/>
          <w:szCs w:val="24"/>
          <w:lang w:eastAsia="zh-CN"/>
        </w:rPr>
        <w:t>6</w:t>
      </w:r>
      <w:r>
        <w:rPr>
          <w:rFonts w:ascii="宋体" w:hAnsi="宋体" w:cs="宋体"/>
          <w:sz w:val="24"/>
          <w:szCs w:val="24"/>
        </w:rPr>
        <w:t>.</w:t>
      </w:r>
      <w:r>
        <w:rPr>
          <w:rFonts w:ascii="宋体" w:hAnsi="宋体" w:cs="宋体"/>
          <w:sz w:val="24"/>
          <w:szCs w:val="24"/>
          <w:lang w:eastAsia="zh-CN"/>
        </w:rPr>
        <w:t>2</w:t>
      </w:r>
      <w:r>
        <w:rPr>
          <w:rFonts w:ascii="宋体" w:hAnsi="宋体" w:cs="宋体"/>
          <w:sz w:val="24"/>
          <w:szCs w:val="24"/>
        </w:rPr>
        <w:t>质保期内</w:t>
      </w:r>
      <w:r>
        <w:rPr>
          <w:rFonts w:ascii="宋体" w:hAnsi="宋体" w:cs="宋体"/>
          <w:sz w:val="24"/>
          <w:szCs w:val="24"/>
          <w:lang w:eastAsia="zh-CN"/>
        </w:rPr>
        <w:t>供应商</w:t>
      </w:r>
      <w:r>
        <w:rPr>
          <w:rFonts w:ascii="宋体" w:hAnsi="宋体" w:cs="宋体"/>
          <w:sz w:val="24"/>
          <w:szCs w:val="24"/>
        </w:rPr>
        <w:t>应负责</w:t>
      </w:r>
      <w:r>
        <w:rPr>
          <w:rFonts w:ascii="宋体" w:hAnsi="宋体" w:cs="宋体"/>
          <w:sz w:val="24"/>
          <w:szCs w:val="24"/>
          <w:lang w:eastAsia="zh-CN"/>
        </w:rPr>
        <w:t>设施</w:t>
      </w:r>
      <w:r>
        <w:rPr>
          <w:rFonts w:ascii="宋体" w:hAnsi="宋体" w:cs="宋体"/>
          <w:sz w:val="24"/>
          <w:szCs w:val="24"/>
        </w:rPr>
        <w:t>设备维修及抢修。20分钟内作出</w:t>
      </w:r>
      <w:r>
        <w:rPr>
          <w:rFonts w:ascii="宋体" w:hAnsi="宋体" w:cs="宋体"/>
          <w:sz w:val="24"/>
          <w:szCs w:val="24"/>
          <w:lang w:eastAsia="zh-CN"/>
        </w:rPr>
        <w:t>响应</w:t>
      </w:r>
      <w:r>
        <w:rPr>
          <w:rFonts w:ascii="宋体" w:hAnsi="宋体" w:cs="宋体"/>
          <w:sz w:val="24"/>
          <w:szCs w:val="24"/>
        </w:rPr>
        <w:t>，</w:t>
      </w:r>
      <w:r>
        <w:rPr>
          <w:rFonts w:ascii="宋体" w:hAnsi="宋体" w:cs="宋体"/>
          <w:sz w:val="24"/>
          <w:szCs w:val="24"/>
          <w:lang w:eastAsia="zh-CN"/>
        </w:rPr>
        <w:t>4</w:t>
      </w:r>
      <w:r>
        <w:rPr>
          <w:rFonts w:ascii="宋体" w:hAnsi="宋体" w:cs="宋体"/>
          <w:sz w:val="24"/>
          <w:szCs w:val="24"/>
        </w:rPr>
        <w:t>小时内到达采购人现场维修和更换零件，相关费用(包括材料)由</w:t>
      </w:r>
      <w:r>
        <w:rPr>
          <w:rFonts w:ascii="宋体" w:hAnsi="宋体" w:cs="宋体"/>
          <w:sz w:val="24"/>
          <w:szCs w:val="24"/>
          <w:lang w:eastAsia="zh-CN"/>
        </w:rPr>
        <w:t>供应商</w:t>
      </w:r>
      <w:r>
        <w:rPr>
          <w:rFonts w:ascii="宋体" w:hAnsi="宋体" w:cs="宋体"/>
          <w:sz w:val="24"/>
          <w:szCs w:val="24"/>
        </w:rPr>
        <w:t>承担。2个工作日内如不能修复应采取无偿提供采购物品的备用件或整机等措施，质保期内</w:t>
      </w:r>
      <w:r>
        <w:rPr>
          <w:rFonts w:ascii="宋体" w:hAnsi="宋体" w:cs="宋体"/>
          <w:sz w:val="24"/>
          <w:szCs w:val="24"/>
          <w:lang w:eastAsia="zh-CN"/>
        </w:rPr>
        <w:t>供应商</w:t>
      </w:r>
      <w:r>
        <w:rPr>
          <w:rFonts w:ascii="宋体" w:hAnsi="宋体" w:cs="宋体"/>
          <w:sz w:val="24"/>
          <w:szCs w:val="24"/>
        </w:rPr>
        <w:t>不得以任何理由影响正常使用。</w:t>
      </w:r>
    </w:p>
    <w:p w14:paraId="18975C57">
      <w:pPr>
        <w:pStyle w:val="5"/>
        <w:spacing w:line="480" w:lineRule="auto"/>
        <w:ind w:firstLine="480" w:firstLineChars="200"/>
        <w:rPr>
          <w:rFonts w:ascii="宋体" w:hAnsi="宋体" w:cs="宋体"/>
          <w:sz w:val="24"/>
          <w:szCs w:val="24"/>
        </w:rPr>
      </w:pPr>
      <w:r>
        <w:rPr>
          <w:rFonts w:ascii="宋体" w:hAnsi="宋体" w:cs="宋体"/>
          <w:sz w:val="24"/>
          <w:szCs w:val="24"/>
          <w:lang w:eastAsia="zh-CN"/>
        </w:rPr>
        <w:t>6</w:t>
      </w:r>
      <w:r>
        <w:rPr>
          <w:rFonts w:ascii="宋体" w:hAnsi="宋体" w:cs="宋体"/>
          <w:sz w:val="24"/>
          <w:szCs w:val="24"/>
        </w:rPr>
        <w:t>.</w:t>
      </w:r>
      <w:r>
        <w:rPr>
          <w:rFonts w:ascii="宋体" w:hAnsi="宋体" w:cs="宋体"/>
          <w:sz w:val="24"/>
          <w:szCs w:val="24"/>
          <w:lang w:eastAsia="zh-CN"/>
        </w:rPr>
        <w:t>3供应商</w:t>
      </w:r>
      <w:r>
        <w:rPr>
          <w:rFonts w:ascii="宋体" w:hAnsi="宋体" w:cs="宋体"/>
          <w:sz w:val="24"/>
          <w:szCs w:val="24"/>
        </w:rPr>
        <w:t>必须派专业技术维护人员</w:t>
      </w:r>
      <w:r>
        <w:rPr>
          <w:rFonts w:ascii="宋体" w:hAnsi="宋体" w:cs="宋体"/>
          <w:sz w:val="24"/>
          <w:szCs w:val="24"/>
          <w:lang w:eastAsia="zh-CN"/>
        </w:rPr>
        <w:t>负责培训事宜</w:t>
      </w:r>
      <w:r>
        <w:rPr>
          <w:rFonts w:ascii="宋体" w:hAnsi="宋体" w:cs="宋体"/>
          <w:sz w:val="24"/>
          <w:szCs w:val="24"/>
        </w:rPr>
        <w:t>。</w:t>
      </w:r>
    </w:p>
    <w:p w14:paraId="72C58730">
      <w:pPr>
        <w:spacing w:line="480" w:lineRule="auto"/>
        <w:ind w:firstLine="480" w:firstLineChars="200"/>
        <w:jc w:val="left"/>
        <w:rPr>
          <w:rFonts w:hint="eastAsia" w:ascii="宋体" w:hAnsi="宋体" w:cs="宋体"/>
          <w:sz w:val="24"/>
        </w:rPr>
      </w:pPr>
      <w:r>
        <w:rPr>
          <w:rFonts w:hint="eastAsia" w:ascii="宋体" w:hAnsi="宋体" w:cs="宋体"/>
          <w:sz w:val="24"/>
        </w:rPr>
        <w:t>6.4质保期后，供应商应向采购单位提供及时、优质、价格优惠的技术服务和备件。质保期结束后的维修维护，除材料费由采购人按照成本价支付外，其余所有费用由供应商自行承担。</w:t>
      </w:r>
    </w:p>
    <w:p w14:paraId="63B25860">
      <w:pPr>
        <w:spacing w:line="480" w:lineRule="auto"/>
        <w:ind w:firstLine="480" w:firstLineChars="200"/>
        <w:rPr>
          <w:rFonts w:hint="eastAsia" w:ascii="宋体" w:hAnsi="宋体" w:cs="宋体"/>
          <w:sz w:val="24"/>
        </w:rPr>
      </w:pPr>
      <w:r>
        <w:rPr>
          <w:rFonts w:hint="eastAsia" w:ascii="宋体" w:hAnsi="宋体" w:cs="宋体"/>
          <w:sz w:val="24"/>
        </w:rPr>
        <w:t>7.违约责任：</w:t>
      </w:r>
    </w:p>
    <w:p w14:paraId="75372D0F">
      <w:pPr>
        <w:spacing w:line="480" w:lineRule="auto"/>
        <w:ind w:firstLine="480" w:firstLineChars="200"/>
        <w:rPr>
          <w:rFonts w:hint="eastAsia" w:ascii="宋体" w:hAnsi="宋体" w:cs="宋体"/>
          <w:sz w:val="24"/>
        </w:rPr>
      </w:pPr>
      <w:r>
        <w:rPr>
          <w:rFonts w:hint="eastAsia" w:ascii="宋体" w:hAnsi="宋体" w:cs="宋体"/>
          <w:sz w:val="24"/>
        </w:rPr>
        <w:t>如因供应商工作人员在履行职务过程中的的疏忽、失职、过错等故意或者过 失原因给采购人造成损失或侵害，包括但不限于采购人本身的财产损失、由此而导致的采购人对任何第三方的法律责任等，供应商对此均应承担全部的赔偿责任。</w:t>
      </w:r>
    </w:p>
    <w:p w14:paraId="1CED9F9C">
      <w:pPr>
        <w:spacing w:line="480" w:lineRule="auto"/>
        <w:ind w:firstLine="480" w:firstLineChars="200"/>
        <w:rPr>
          <w:rFonts w:hint="eastAsia" w:ascii="宋体" w:hAnsi="宋体" w:cs="宋体"/>
          <w:sz w:val="24"/>
        </w:rPr>
      </w:pPr>
      <w:r>
        <w:rPr>
          <w:rFonts w:hint="eastAsia" w:ascii="宋体" w:hAnsi="宋体" w:cs="宋体"/>
          <w:sz w:val="24"/>
        </w:rPr>
        <w:t>8.涉及的商品包装和快递包装，均应符合《商品包装政府采购需求标准(试行)》《快递包装政府采购需求标准(试行)》的要求，包装应适应于远距离运输、防潮、防震、防锈和防野蛮装卸，以确保货物安全无损运抵指定地点。</w:t>
      </w:r>
    </w:p>
    <w:p w14:paraId="27838840">
      <w:pPr>
        <w:spacing w:line="480" w:lineRule="auto"/>
        <w:ind w:firstLine="480" w:firstLineChars="200"/>
        <w:jc w:val="left"/>
        <w:rPr>
          <w:rFonts w:hint="eastAsia" w:ascii="宋体" w:hAnsi="宋体" w:cs="宋体"/>
          <w:sz w:val="24"/>
        </w:rPr>
      </w:pPr>
    </w:p>
    <w:p w14:paraId="0D27167C">
      <w:r>
        <w:rPr>
          <w:rFonts w:hint="eastAsia" w:ascii="宋体" w:hAnsi="宋体" w:cs="宋体"/>
          <w:sz w:val="24"/>
        </w:rPr>
        <w:t>注：以上★项为本项目实质性要求，不允许负偏离，否则做无效投标处理。</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F3437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9"/>
    <w:pPr>
      <w:keepNext/>
      <w:keepLines/>
      <w:spacing w:before="260" w:after="260" w:line="416" w:lineRule="auto"/>
      <w:outlineLvl w:val="1"/>
    </w:pPr>
    <w:rPr>
      <w:rFonts w:ascii="Arial" w:hAnsi="Arial" w:eastAsia="黑体"/>
      <w:b/>
      <w:bCs/>
      <w:sz w:val="32"/>
      <w:szCs w:val="32"/>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2026-11-05T02:04:14Z</dcterms:created>
  <dc:creator>Administrator</dc:creator>
  <cp:lastModifiedBy>1</cp:lastModifiedBy>
  <dcterms:modified xsi:type="dcterms:W3CDTF">2026-11-05T02:04:17Z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eyJoZGlkIjoiYzIxMDZmOGUxZDFkYjYwNjQxMTgyMWVkNTExYzJhYzAiLCJ1c2VySWQiOiIxMjExMDE3OTg5In0=</vt:lpwstr>
  </property>
  <property fmtid="{D5CDD505-2E9C-101B-9397-08002B2CF9AE}" pid="4" name="ICV">
    <vt:lpwstr>BEB4CA3FBEC54C9593B3154041476F55_12</vt:lpwstr>
  </property>
</Properties>
</file>