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9.0 -->
  <w:body>
    <w:p w14:paraId="3E98D71C">
      <w:pPr>
        <w:spacing w:line="360" w:lineRule="auto"/>
        <w:jc w:val="center"/>
        <w:outlineLvl w:val="0"/>
        <w:rPr>
          <w:rFonts w:ascii="宋体" w:eastAsia="宋体" w:hAnsi="宋体" w:cs="宋体"/>
          <w:b/>
          <w:kern w:val="0"/>
          <w:sz w:val="36"/>
          <w:szCs w:val="36"/>
          <w:highlight w:val="none"/>
        </w:rPr>
      </w:pPr>
      <w:bookmarkStart w:id="0" w:name="_Toc162962057"/>
      <w:r>
        <w:rPr>
          <w:rStyle w:val="1Char"/>
          <w:rFonts w:hint="eastAsia"/>
          <w:sz w:val="36"/>
          <w:szCs w:val="16"/>
          <w:highlight w:val="none"/>
        </w:rPr>
        <w:t>招标公告</w:t>
      </w:r>
      <w:bookmarkEnd w:id="0"/>
    </w:p>
    <w:p w14:paraId="4DE080D4">
      <w:pPr>
        <w:spacing w:line="360" w:lineRule="auto"/>
        <w:jc w:val="center"/>
        <w:rPr>
          <w:rFonts w:ascii="宋体" w:eastAsia="宋体" w:hAnsi="宋体" w:cs="宋体"/>
          <w:b/>
          <w:bCs/>
          <w:sz w:val="28"/>
          <w:szCs w:val="28"/>
          <w:highlight w:val="none"/>
        </w:rPr>
      </w:pPr>
      <w:r>
        <w:rPr>
          <w:rFonts w:ascii="宋体" w:eastAsia="宋体" w:hAnsi="宋体" w:cs="宋体" w:hint="eastAsia"/>
          <w:b/>
          <w:bCs/>
          <w:sz w:val="28"/>
          <w:szCs w:val="28"/>
          <w:highlight w:val="none"/>
          <w:lang w:eastAsia="zh-CN"/>
        </w:rPr>
        <w:t>中国邮政集团有限公司雅安市分公司2025年-2028年车辆维修服务项目</w:t>
      </w:r>
      <w:r>
        <w:rPr>
          <w:rFonts w:ascii="宋体" w:eastAsia="宋体" w:hAnsi="宋体" w:cs="宋体" w:hint="eastAsia"/>
          <w:b/>
          <w:bCs/>
          <w:sz w:val="28"/>
          <w:szCs w:val="28"/>
          <w:highlight w:val="none"/>
        </w:rPr>
        <w:t>招标公告</w:t>
      </w:r>
    </w:p>
    <w:p w14:paraId="2BF78F78">
      <w:pPr>
        <w:widowControl/>
        <w:autoSpaceDE w:val="0"/>
        <w:autoSpaceDN w:val="0"/>
        <w:spacing w:after="156" w:afterLines="50" w:line="240" w:lineRule="atLeast"/>
        <w:ind w:right="284" w:firstLine="480" w:firstLineChars="200"/>
        <w:textAlignment w:val="bottom"/>
        <w:rPr>
          <w:rFonts w:ascii="宋体" w:eastAsia="宋体" w:hAnsi="宋体" w:cs="宋体"/>
          <w:sz w:val="24"/>
          <w:highlight w:val="none"/>
        </w:rPr>
      </w:pPr>
      <w:r>
        <w:rPr>
          <w:rFonts w:ascii="宋体" w:eastAsia="宋体" w:hAnsi="宋体" w:cs="宋体" w:hint="eastAsia"/>
          <w:b/>
          <w:sz w:val="24"/>
          <w:highlight w:val="none"/>
          <w:u w:val="single"/>
          <w:lang w:eastAsia="zh-CN"/>
        </w:rPr>
        <w:t>四川中志招标代理有限公司</w:t>
      </w:r>
      <w:r>
        <w:rPr>
          <w:rFonts w:ascii="宋体" w:eastAsia="宋体" w:hAnsi="宋体" w:cs="宋体" w:hint="eastAsia"/>
          <w:bCs/>
          <w:sz w:val="24"/>
          <w:highlight w:val="none"/>
          <w:u w:val="single"/>
        </w:rPr>
        <w:t>（</w:t>
      </w:r>
      <w:r>
        <w:rPr>
          <w:rFonts w:ascii="宋体" w:eastAsia="宋体" w:hAnsi="宋体" w:cs="宋体" w:hint="eastAsia"/>
          <w:sz w:val="24"/>
          <w:highlight w:val="none"/>
        </w:rPr>
        <w:t>招标代理机构）受</w:t>
      </w:r>
      <w:r>
        <w:rPr>
          <w:rFonts w:ascii="宋体" w:eastAsia="宋体" w:hAnsi="宋体" w:cs="宋体" w:hint="eastAsia"/>
          <w:b/>
          <w:sz w:val="24"/>
          <w:highlight w:val="none"/>
          <w:u w:val="single"/>
        </w:rPr>
        <w:t>中国邮政集团有限公司四川省分公司</w:t>
      </w:r>
      <w:r>
        <w:rPr>
          <w:rFonts w:ascii="宋体" w:eastAsia="宋体" w:hAnsi="宋体" w:cs="宋体" w:hint="eastAsia"/>
          <w:sz w:val="24"/>
          <w:highlight w:val="none"/>
        </w:rPr>
        <w:t>（招标人）委托，拟对</w:t>
      </w:r>
      <w:r>
        <w:rPr>
          <w:rFonts w:ascii="宋体" w:eastAsia="宋体" w:hAnsi="宋体" w:cs="宋体" w:hint="eastAsia"/>
          <w:b/>
          <w:sz w:val="24"/>
          <w:highlight w:val="none"/>
          <w:u w:val="single"/>
          <w:lang w:eastAsia="zh-CN"/>
        </w:rPr>
        <w:t>中国邮政集团有限公司雅安市分公司2025年-2028年车辆维修服务项目</w:t>
      </w:r>
      <w:r>
        <w:rPr>
          <w:rFonts w:ascii="宋体" w:eastAsia="宋体" w:hAnsi="宋体" w:cs="宋体" w:hint="eastAsia"/>
          <w:sz w:val="24"/>
          <w:highlight w:val="none"/>
        </w:rPr>
        <w:t>进行国内公开招标，现邀请合格的投标人前来投标。</w:t>
      </w:r>
    </w:p>
    <w:p w14:paraId="713526E6">
      <w:pPr>
        <w:widowControl/>
        <w:numPr>
          <w:ilvl w:val="0"/>
          <w:numId w:val="1"/>
        </w:numPr>
        <w:tabs>
          <w:tab w:val="left" w:pos="540"/>
        </w:tabs>
        <w:autoSpaceDE w:val="0"/>
        <w:autoSpaceDN w:val="0"/>
        <w:spacing w:after="156" w:afterLines="50" w:line="240" w:lineRule="atLeast"/>
        <w:ind w:right="-20"/>
        <w:textAlignment w:val="bottom"/>
        <w:rPr>
          <w:rFonts w:ascii="宋体" w:eastAsia="宋体" w:hAnsi="宋体" w:cs="宋体"/>
          <w:b/>
          <w:sz w:val="24"/>
          <w:highlight w:val="none"/>
        </w:rPr>
      </w:pPr>
      <w:r>
        <w:rPr>
          <w:rFonts w:ascii="宋体" w:eastAsia="宋体" w:hAnsi="宋体" w:cs="宋体" w:hint="eastAsia"/>
          <w:b/>
          <w:sz w:val="24"/>
          <w:highlight w:val="none"/>
        </w:rPr>
        <w:t>项目名称：</w:t>
      </w:r>
      <w:r>
        <w:rPr>
          <w:rFonts w:ascii="宋体" w:eastAsia="宋体" w:hAnsi="宋体" w:cs="宋体" w:hint="eastAsia"/>
          <w:b/>
          <w:sz w:val="24"/>
          <w:highlight w:val="none"/>
          <w:lang w:eastAsia="zh-CN"/>
        </w:rPr>
        <w:t>中国邮政集团有限公司雅安市分公司2025年-2028年车辆维修服务项目</w:t>
      </w:r>
      <w:r>
        <w:rPr>
          <w:rFonts w:ascii="宋体" w:eastAsia="宋体" w:hAnsi="宋体" w:cs="宋体" w:hint="eastAsia"/>
          <w:b/>
          <w:sz w:val="24"/>
          <w:highlight w:val="none"/>
        </w:rPr>
        <w:t>。</w:t>
      </w:r>
      <w:bookmarkStart w:id="1" w:name="_GoBack"/>
      <w:bookmarkEnd w:id="1"/>
    </w:p>
    <w:p w14:paraId="7DA7A553">
      <w:pPr>
        <w:widowControl/>
        <w:numPr>
          <w:ilvl w:val="0"/>
          <w:numId w:val="1"/>
        </w:numPr>
        <w:tabs>
          <w:tab w:val="left" w:pos="540"/>
        </w:tabs>
        <w:autoSpaceDE w:val="0"/>
        <w:autoSpaceDN w:val="0"/>
        <w:spacing w:after="156" w:afterLines="50" w:line="240" w:lineRule="atLeast"/>
        <w:ind w:right="-20"/>
        <w:textAlignment w:val="bottom"/>
        <w:rPr>
          <w:rFonts w:ascii="宋体" w:eastAsia="宋体" w:hAnsi="宋体" w:cs="宋体"/>
          <w:b/>
          <w:sz w:val="24"/>
          <w:highlight w:val="none"/>
        </w:rPr>
      </w:pPr>
      <w:r>
        <w:rPr>
          <w:rFonts w:ascii="宋体" w:eastAsia="宋体" w:hAnsi="宋体" w:cs="宋体" w:hint="eastAsia"/>
          <w:b/>
          <w:sz w:val="24"/>
          <w:highlight w:val="none"/>
        </w:rPr>
        <w:t>招标编号：</w:t>
      </w:r>
      <w:r>
        <w:rPr>
          <w:rFonts w:ascii="宋体" w:eastAsia="宋体" w:hAnsi="宋体" w:cs="宋体" w:hint="eastAsia"/>
          <w:b/>
          <w:sz w:val="24"/>
          <w:highlight w:val="none"/>
          <w:lang w:eastAsia="zh-CN"/>
        </w:rPr>
        <w:t>SCZZ17-FZC-2025-0733</w:t>
      </w:r>
    </w:p>
    <w:p w14:paraId="39E6DB9D">
      <w:pPr>
        <w:widowControl/>
        <w:numPr>
          <w:ilvl w:val="0"/>
          <w:numId w:val="1"/>
        </w:numPr>
        <w:tabs>
          <w:tab w:val="left" w:pos="540"/>
          <w:tab w:val="clear" w:pos="720"/>
        </w:tabs>
        <w:autoSpaceDE w:val="0"/>
        <w:autoSpaceDN w:val="0"/>
        <w:spacing w:after="156" w:afterLines="50" w:line="240" w:lineRule="atLeast"/>
        <w:ind w:left="540" w:right="-20" w:hanging="540"/>
        <w:textAlignment w:val="bottom"/>
        <w:rPr>
          <w:rFonts w:ascii="宋体" w:eastAsia="宋体" w:hAnsi="宋体" w:cs="宋体"/>
          <w:b/>
          <w:sz w:val="24"/>
          <w:highlight w:val="none"/>
        </w:rPr>
      </w:pPr>
      <w:r>
        <w:rPr>
          <w:rFonts w:ascii="宋体" w:eastAsia="宋体" w:hAnsi="宋体" w:cs="宋体" w:hint="eastAsia"/>
          <w:b/>
          <w:sz w:val="24"/>
          <w:highlight w:val="none"/>
        </w:rPr>
        <w:t>项目概述：</w:t>
      </w:r>
    </w:p>
    <w:p w14:paraId="4EFE28C2">
      <w:pPr>
        <w:pStyle w:val="BodyTextFirstIndent2"/>
        <w:spacing w:line="240" w:lineRule="atLeast"/>
        <w:ind w:left="0" w:firstLine="480" w:leftChars="0"/>
        <w:rPr>
          <w:rFonts w:ascii="宋体" w:eastAsia="宋体" w:hAnsi="宋体" w:cs="宋体" w:hint="eastAsia"/>
          <w:bCs/>
          <w:sz w:val="24"/>
          <w:highlight w:val="none"/>
          <w:lang w:val="en-US" w:eastAsia="zh-CN"/>
        </w:rPr>
      </w:pPr>
      <w:r>
        <w:rPr>
          <w:rFonts w:ascii="宋体" w:eastAsia="宋体" w:hAnsi="宋体" w:cs="宋体" w:hint="eastAsia"/>
          <w:bCs/>
          <w:sz w:val="24"/>
          <w:highlight w:val="none"/>
        </w:rPr>
        <w:t>1.</w:t>
      </w:r>
      <w:r>
        <w:rPr>
          <w:rFonts w:ascii="宋体" w:eastAsia="宋体" w:hAnsi="宋体" w:cs="宋体" w:hint="eastAsia"/>
          <w:bCs/>
          <w:sz w:val="24"/>
          <w:highlight w:val="none"/>
          <w:lang w:val="en-US" w:eastAsia="zh-CN"/>
        </w:rPr>
        <w:t>服务实施范围：为中国邮政集团有限公司雅安市分公司本部及下辖各单位邮政机动车辆。</w:t>
      </w:r>
    </w:p>
    <w:p w14:paraId="51D822A2">
      <w:pPr>
        <w:pStyle w:val="BodyTextFirstIndent2"/>
        <w:spacing w:line="240" w:lineRule="atLeast"/>
        <w:ind w:left="0" w:firstLine="480" w:leftChars="0"/>
        <w:rPr>
          <w:rFonts w:ascii="宋体" w:eastAsia="宋体" w:hAnsi="宋体" w:cs="宋体" w:hint="eastAsia"/>
          <w:bCs/>
          <w:sz w:val="24"/>
          <w:highlight w:val="none"/>
          <w:lang w:val="en-US" w:eastAsia="zh-CN"/>
        </w:rPr>
      </w:pPr>
      <w:r>
        <w:rPr>
          <w:rFonts w:ascii="宋体" w:eastAsia="宋体" w:hAnsi="宋体" w:cs="宋体" w:hint="eastAsia"/>
          <w:bCs/>
          <w:sz w:val="24"/>
          <w:highlight w:val="none"/>
          <w:lang w:val="en-US" w:eastAsia="zh-CN"/>
        </w:rPr>
        <w:t>2.维护服务车辆情况：各型车辆共131辆，品牌为长安、福田、东风、庆铃、五十铃、东风小康、红旗、金旅、风行、解放、上元、鸿雁、大众等。上述车辆数量会根据调拨、更新、报废、新增等情况有所变化。</w:t>
      </w:r>
    </w:p>
    <w:p w14:paraId="2F86D9D9">
      <w:pPr>
        <w:pStyle w:val="BodyTextFirstIndent2"/>
        <w:spacing w:line="240" w:lineRule="atLeast"/>
        <w:ind w:left="0" w:firstLine="480" w:leftChars="0"/>
        <w:rPr>
          <w:rFonts w:ascii="宋体" w:eastAsia="宋体" w:hAnsi="宋体" w:cs="宋体" w:hint="eastAsia"/>
          <w:bCs/>
          <w:sz w:val="24"/>
          <w:highlight w:val="none"/>
          <w:lang w:val="en-US" w:eastAsia="zh-CN"/>
        </w:rPr>
      </w:pPr>
      <w:r>
        <w:rPr>
          <w:rFonts w:ascii="宋体" w:eastAsia="宋体" w:hAnsi="宋体" w:cs="宋体" w:hint="eastAsia"/>
          <w:bCs/>
          <w:sz w:val="24"/>
          <w:highlight w:val="none"/>
          <w:lang w:val="en-US" w:eastAsia="zh-CN"/>
        </w:rPr>
        <w:t>3.服务项目：二类汽车维修经营业务，三类汽车维修经营业务，车辆维修项目包括但不限于一、二级维护保养、小修、总成大修、车厢维修、道路救援、车辆维修机油、轮胎供应等车辆维修服务工作。</w:t>
      </w:r>
    </w:p>
    <w:p w14:paraId="311B4651">
      <w:pPr>
        <w:pStyle w:val="BodyTextFirstIndent2"/>
        <w:spacing w:line="240" w:lineRule="atLeast"/>
        <w:ind w:left="0" w:firstLine="480" w:leftChars="0"/>
        <w:rPr>
          <w:rFonts w:ascii="宋体" w:eastAsia="宋体" w:hAnsi="宋体" w:cs="宋体" w:hint="eastAsia"/>
          <w:bCs/>
          <w:sz w:val="24"/>
          <w:highlight w:val="none"/>
          <w:lang w:val="en-US" w:eastAsia="zh-CN"/>
        </w:rPr>
      </w:pPr>
      <w:r>
        <w:rPr>
          <w:rFonts w:ascii="宋体" w:eastAsia="宋体" w:hAnsi="宋体" w:cs="宋体" w:hint="eastAsia"/>
          <w:bCs/>
          <w:sz w:val="24"/>
          <w:highlight w:val="none"/>
          <w:lang w:val="en-US" w:eastAsia="zh-CN"/>
        </w:rPr>
        <w:t>4</w:t>
      </w:r>
      <w:r>
        <w:rPr>
          <w:rFonts w:ascii="宋体" w:eastAsia="宋体" w:hAnsi="宋体" w:cs="宋体" w:hint="eastAsia"/>
          <w:bCs/>
          <w:sz w:val="24"/>
          <w:highlight w:val="none"/>
        </w:rPr>
        <w:t>.</w:t>
      </w:r>
      <w:r>
        <w:rPr>
          <w:rFonts w:ascii="宋体" w:eastAsia="宋体" w:hAnsi="宋体" w:cs="宋体" w:hint="eastAsia"/>
          <w:bCs/>
          <w:sz w:val="24"/>
          <w:highlight w:val="none"/>
          <w:lang w:val="en-US" w:eastAsia="zh-CN"/>
        </w:rPr>
        <w:t>服务期限：自合同签订之日起3年。</w:t>
      </w:r>
    </w:p>
    <w:p w14:paraId="4941EAD8">
      <w:pPr>
        <w:pStyle w:val="BodyTextFirstIndent2"/>
        <w:spacing w:line="240" w:lineRule="atLeast"/>
        <w:ind w:left="0" w:firstLine="480" w:leftChars="0"/>
        <w:rPr>
          <w:rFonts w:ascii="宋体" w:eastAsia="宋体" w:hAnsi="宋体" w:cs="宋体" w:hint="eastAsia"/>
          <w:bCs/>
          <w:sz w:val="24"/>
          <w:highlight w:val="none"/>
        </w:rPr>
      </w:pPr>
      <w:r>
        <w:rPr>
          <w:rFonts w:ascii="宋体" w:eastAsia="宋体" w:hAnsi="宋体" w:cs="宋体" w:hint="eastAsia"/>
          <w:bCs/>
          <w:sz w:val="24"/>
          <w:highlight w:val="none"/>
          <w:lang w:val="en-US" w:eastAsia="zh-CN"/>
        </w:rPr>
        <w:t>5.</w:t>
      </w:r>
      <w:r>
        <w:rPr>
          <w:rFonts w:ascii="宋体" w:eastAsia="宋体" w:hAnsi="宋体" w:cs="宋体" w:hint="eastAsia"/>
          <w:bCs/>
          <w:sz w:val="24"/>
          <w:highlight w:val="none"/>
        </w:rPr>
        <w:t>资金落实情况</w:t>
      </w:r>
      <w:r>
        <w:rPr>
          <w:rFonts w:ascii="宋体" w:eastAsia="宋体" w:hAnsi="宋体" w:cs="宋体" w:hint="eastAsia"/>
          <w:bCs/>
          <w:sz w:val="24"/>
          <w:highlight w:val="none"/>
          <w:lang w:eastAsia="zh-CN"/>
        </w:rPr>
        <w:t>：</w:t>
      </w:r>
      <w:r>
        <w:rPr>
          <w:rFonts w:ascii="宋体" w:eastAsia="宋体" w:hAnsi="宋体" w:cs="宋体" w:hint="eastAsia"/>
          <w:bCs/>
          <w:sz w:val="24"/>
          <w:highlight w:val="none"/>
        </w:rPr>
        <w:t>项目总预算</w:t>
      </w:r>
      <w:r>
        <w:rPr>
          <w:rFonts w:ascii="宋体" w:eastAsia="宋体" w:hAnsi="宋体" w:cs="宋体" w:hint="eastAsia"/>
          <w:bCs/>
          <w:sz w:val="24"/>
          <w:highlight w:val="none"/>
          <w:lang w:val="en-US" w:eastAsia="zh-CN"/>
        </w:rPr>
        <w:t>390</w:t>
      </w:r>
      <w:r>
        <w:rPr>
          <w:rFonts w:ascii="宋体" w:eastAsia="宋体" w:hAnsi="宋体" w:cs="宋体" w:hint="eastAsia"/>
          <w:bCs/>
          <w:sz w:val="24"/>
          <w:highlight w:val="none"/>
        </w:rPr>
        <w:t>万元，</w:t>
      </w:r>
      <w:r>
        <w:rPr>
          <w:rFonts w:ascii="宋体" w:eastAsia="宋体" w:hAnsi="宋体" w:cs="宋体" w:hint="eastAsia"/>
          <w:bCs/>
          <w:sz w:val="24"/>
          <w:highlight w:val="none"/>
          <w:lang w:val="en-US" w:eastAsia="zh-CN"/>
        </w:rPr>
        <w:t>由中国邮政集团有限公司雅安市分公司</w:t>
      </w:r>
      <w:r>
        <w:rPr>
          <w:rFonts w:ascii="宋体" w:eastAsia="宋体" w:hAnsi="宋体" w:cs="宋体" w:hint="eastAsia"/>
          <w:bCs/>
          <w:sz w:val="24"/>
          <w:highlight w:val="none"/>
          <w:lang w:eastAsia="zh-CN"/>
        </w:rPr>
        <w:t>承担</w:t>
      </w:r>
      <w:r>
        <w:rPr>
          <w:rFonts w:ascii="宋体" w:eastAsia="宋体" w:hAnsi="宋体" w:cs="宋体" w:hint="eastAsia"/>
          <w:bCs/>
          <w:sz w:val="24"/>
          <w:highlight w:val="none"/>
        </w:rPr>
        <w:t>，付款按实际</w:t>
      </w:r>
      <w:r>
        <w:rPr>
          <w:rFonts w:ascii="宋体" w:eastAsia="宋体" w:hAnsi="宋体" w:cs="宋体" w:hint="eastAsia"/>
          <w:bCs/>
          <w:sz w:val="24"/>
          <w:highlight w:val="none"/>
          <w:lang w:val="en-US" w:eastAsia="zh-CN"/>
        </w:rPr>
        <w:t>维修</w:t>
      </w:r>
      <w:r>
        <w:rPr>
          <w:rFonts w:ascii="宋体" w:eastAsia="宋体" w:hAnsi="宋体" w:cs="宋体" w:hint="eastAsia"/>
          <w:bCs/>
          <w:sz w:val="24"/>
          <w:highlight w:val="none"/>
        </w:rPr>
        <w:t>量据实结算。</w:t>
      </w:r>
    </w:p>
    <w:p w14:paraId="1A2A73FA">
      <w:pPr>
        <w:pStyle w:val="BodyTextFirstIndent2"/>
        <w:spacing w:line="240" w:lineRule="atLeast"/>
        <w:ind w:left="0" w:firstLine="480" w:leftChars="0"/>
        <w:rPr>
          <w:rFonts w:ascii="宋体" w:eastAsia="宋体" w:hAnsi="宋体" w:cs="宋体" w:hint="eastAsia"/>
          <w:bCs/>
          <w:sz w:val="24"/>
          <w:highlight w:val="none"/>
        </w:rPr>
      </w:pPr>
      <w:r>
        <w:rPr>
          <w:rFonts w:ascii="宋体" w:eastAsia="宋体" w:hAnsi="宋体" w:cs="宋体" w:hint="eastAsia"/>
          <w:bCs/>
          <w:sz w:val="24"/>
          <w:highlight w:val="none"/>
          <w:lang w:val="en-US" w:eastAsia="zh-CN"/>
        </w:rPr>
        <w:t>6.</w:t>
      </w:r>
      <w:r>
        <w:rPr>
          <w:rFonts w:ascii="宋体" w:eastAsia="宋体" w:hAnsi="宋体" w:cs="宋体" w:hint="eastAsia"/>
          <w:bCs/>
          <w:sz w:val="24"/>
          <w:highlight w:val="none"/>
        </w:rPr>
        <w:t>标包划分</w:t>
      </w:r>
      <w:r>
        <w:rPr>
          <w:rFonts w:ascii="宋体" w:eastAsia="宋体" w:hAnsi="宋体" w:cs="宋体" w:hint="eastAsia"/>
          <w:bCs/>
          <w:sz w:val="24"/>
          <w:highlight w:val="none"/>
          <w:lang w:eastAsia="zh-CN"/>
        </w:rPr>
        <w:t>：</w:t>
      </w:r>
      <w:r>
        <w:rPr>
          <w:rFonts w:ascii="宋体" w:eastAsia="宋体" w:hAnsi="宋体" w:cs="宋体" w:hint="eastAsia"/>
          <w:bCs/>
          <w:sz w:val="24"/>
          <w:highlight w:val="none"/>
        </w:rPr>
        <w:t>本项目分为</w:t>
      </w:r>
      <w:r>
        <w:rPr>
          <w:rFonts w:ascii="宋体" w:eastAsia="宋体" w:hAnsi="宋体" w:cs="宋体" w:hint="eastAsia"/>
          <w:bCs/>
          <w:sz w:val="24"/>
          <w:highlight w:val="none"/>
          <w:lang w:val="en-US" w:eastAsia="zh-CN"/>
        </w:rPr>
        <w:t>3个</w:t>
      </w:r>
      <w:r>
        <w:rPr>
          <w:rFonts w:ascii="宋体" w:eastAsia="宋体" w:hAnsi="宋体" w:cs="宋体" w:hint="eastAsia"/>
          <w:bCs/>
          <w:sz w:val="24"/>
          <w:highlight w:val="none"/>
        </w:rPr>
        <w:t>包</w:t>
      </w:r>
      <w:r>
        <w:rPr>
          <w:rFonts w:ascii="宋体" w:eastAsia="宋体" w:hAnsi="宋体" w:cs="宋体" w:hint="eastAsia"/>
          <w:bCs/>
          <w:sz w:val="24"/>
          <w:highlight w:val="none"/>
          <w:lang w:eastAsia="zh-CN"/>
        </w:rPr>
        <w:t>，</w:t>
      </w:r>
      <w:r>
        <w:rPr>
          <w:rFonts w:ascii="宋体" w:eastAsia="宋体" w:hAnsi="宋体" w:cs="宋体" w:hint="eastAsia"/>
          <w:bCs/>
          <w:sz w:val="24"/>
          <w:highlight w:val="none"/>
        </w:rPr>
        <w:t>供应商可多投</w:t>
      </w:r>
      <w:r>
        <w:rPr>
          <w:rFonts w:ascii="宋体" w:eastAsia="宋体" w:hAnsi="宋体" w:cs="宋体" w:hint="eastAsia"/>
          <w:bCs/>
          <w:sz w:val="24"/>
          <w:highlight w:val="none"/>
          <w:lang w:val="en-US" w:eastAsia="zh-CN"/>
        </w:rPr>
        <w:t>多</w:t>
      </w:r>
      <w:r>
        <w:rPr>
          <w:rFonts w:ascii="宋体" w:eastAsia="宋体" w:hAnsi="宋体" w:cs="宋体" w:hint="eastAsia"/>
          <w:bCs/>
          <w:sz w:val="24"/>
          <w:highlight w:val="none"/>
        </w:rPr>
        <w:t>中。</w:t>
      </w:r>
    </w:p>
    <w:tbl>
      <w:tblPr>
        <w:tblStyle w:val="TableNormal"/>
        <w:tblW w:w="4997"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
      <w:tblGrid>
        <w:gridCol w:w="1923"/>
        <w:gridCol w:w="2910"/>
        <w:gridCol w:w="2485"/>
        <w:gridCol w:w="1013"/>
      </w:tblGrid>
      <w:tr w14:paraId="5E583C0D">
        <w:tblPrEx>
          <w:tblW w:w="4997"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3"/>
          <w:jc w:val="center"/>
        </w:trPr>
        <w:tc>
          <w:tcPr>
            <w:tcW w:w="1154" w:type="pct"/>
            <w:tcBorders>
              <w:tl2br w:val="nil"/>
              <w:tr2bl w:val="nil"/>
            </w:tcBorders>
            <w:shd w:val="clear" w:color="auto" w:fill="auto"/>
            <w:tcMar>
              <w:top w:w="15" w:type="dxa"/>
              <w:left w:w="15" w:type="dxa"/>
              <w:right w:w="15" w:type="dxa"/>
            </w:tcMar>
            <w:vAlign w:val="center"/>
          </w:tcPr>
          <w:p w14:paraId="2EC9AA1E">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center"/>
              <w:textAlignment w:val="auto"/>
              <w:rPr>
                <w:rFonts w:ascii="宋体" w:eastAsia="宋体" w:hAnsi="宋体" w:cs="宋体" w:hint="eastAsia"/>
                <w:color w:val="auto"/>
                <w:kern w:val="2"/>
                <w:sz w:val="24"/>
                <w:szCs w:val="24"/>
                <w:highlight w:val="none"/>
                <w:lang w:val="en-US" w:eastAsia="zh-CN" w:bidi="ar-SA"/>
              </w:rPr>
            </w:pPr>
            <w:bookmarkStart w:id="2" w:name="OLE_LINK6" w:colFirst="1" w:colLast="4"/>
            <w:r>
              <w:rPr>
                <w:rFonts w:ascii="宋体" w:eastAsia="宋体" w:hAnsi="宋体" w:cs="宋体" w:hint="eastAsia"/>
                <w:color w:val="auto"/>
                <w:kern w:val="2"/>
                <w:sz w:val="24"/>
                <w:szCs w:val="24"/>
                <w:highlight w:val="none"/>
                <w:lang w:val="en-US" w:eastAsia="zh-CN" w:bidi="ar-SA"/>
              </w:rPr>
              <w:t>包件号</w:t>
            </w:r>
          </w:p>
        </w:tc>
        <w:tc>
          <w:tcPr>
            <w:tcW w:w="1746" w:type="pct"/>
            <w:tcBorders>
              <w:tl2br w:val="nil"/>
              <w:tr2bl w:val="nil"/>
            </w:tcBorders>
            <w:shd w:val="clear" w:color="auto" w:fill="auto"/>
            <w:tcMar>
              <w:top w:w="15" w:type="dxa"/>
              <w:left w:w="15" w:type="dxa"/>
              <w:right w:w="15" w:type="dxa"/>
            </w:tcMar>
            <w:vAlign w:val="center"/>
          </w:tcPr>
          <w:p w14:paraId="75838A15">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center"/>
              <w:textAlignment w:val="auto"/>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服务范围</w:t>
            </w:r>
          </w:p>
        </w:tc>
        <w:tc>
          <w:tcPr>
            <w:tcW w:w="1490" w:type="pct"/>
            <w:tcBorders>
              <w:tl2br w:val="nil"/>
              <w:tr2bl w:val="nil"/>
            </w:tcBorders>
            <w:shd w:val="clear" w:color="auto" w:fill="auto"/>
            <w:tcMar>
              <w:top w:w="15" w:type="dxa"/>
              <w:left w:w="15" w:type="dxa"/>
              <w:right w:w="15" w:type="dxa"/>
            </w:tcMar>
            <w:vAlign w:val="center"/>
          </w:tcPr>
          <w:p w14:paraId="5E2EE1DF">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center"/>
              <w:textAlignment w:val="auto"/>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车辆情况</w:t>
            </w:r>
          </w:p>
        </w:tc>
        <w:tc>
          <w:tcPr>
            <w:tcW w:w="608" w:type="pct"/>
            <w:tcBorders>
              <w:tl2br w:val="nil"/>
              <w:tr2bl w:val="nil"/>
            </w:tcBorders>
            <w:shd w:val="clear" w:color="auto" w:fill="auto"/>
            <w:tcMar>
              <w:top w:w="15" w:type="dxa"/>
              <w:left w:w="15" w:type="dxa"/>
              <w:right w:w="15" w:type="dxa"/>
            </w:tcMar>
            <w:vAlign w:val="center"/>
          </w:tcPr>
          <w:p w14:paraId="164AAE05">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center"/>
              <w:textAlignment w:val="auto"/>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预算金额</w:t>
            </w:r>
          </w:p>
          <w:p w14:paraId="58AF7E2F">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center"/>
              <w:textAlignment w:val="auto"/>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（万元）</w:t>
            </w:r>
          </w:p>
        </w:tc>
      </w:tr>
      <w:tr w14:paraId="3B861737">
        <w:tblPrEx>
          <w:tblW w:w="4997" w:type="pct"/>
          <w:jc w:val="center"/>
          <w:shd w:val="clear" w:color="auto" w:fill="auto"/>
          <w:tblLayout w:type="fixed"/>
          <w:tblCellMar>
            <w:top w:w="0" w:type="dxa"/>
            <w:left w:w="0" w:type="dxa"/>
            <w:bottom w:w="0" w:type="dxa"/>
            <w:right w:w="0" w:type="dxa"/>
          </w:tblCellMar>
        </w:tblPrEx>
        <w:trPr>
          <w:trHeight w:val="23"/>
          <w:jc w:val="center"/>
        </w:trPr>
        <w:tc>
          <w:tcPr>
            <w:tcW w:w="1154" w:type="pct"/>
            <w:tcBorders>
              <w:tl2br w:val="nil"/>
              <w:tr2bl w:val="nil"/>
            </w:tcBorders>
            <w:shd w:val="clear" w:color="auto" w:fill="auto"/>
            <w:noWrap/>
            <w:tcMar>
              <w:top w:w="15" w:type="dxa"/>
              <w:left w:w="15" w:type="dxa"/>
              <w:right w:w="15" w:type="dxa"/>
            </w:tcMar>
            <w:vAlign w:val="center"/>
          </w:tcPr>
          <w:p w14:paraId="10B290C4">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center"/>
              <w:textAlignment w:val="auto"/>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包件1：雅安邮件处理中心、雅安市分公司本部、雨城区及名山区分公司车辆维修</w:t>
            </w:r>
          </w:p>
        </w:tc>
        <w:tc>
          <w:tcPr>
            <w:tcW w:w="1746" w:type="pct"/>
            <w:tcBorders>
              <w:tl2br w:val="nil"/>
              <w:tr2bl w:val="nil"/>
            </w:tcBorders>
            <w:shd w:val="clear" w:color="auto" w:fill="auto"/>
            <w:noWrap/>
            <w:tcMar>
              <w:top w:w="15" w:type="dxa"/>
              <w:left w:w="15" w:type="dxa"/>
              <w:right w:w="15" w:type="dxa"/>
            </w:tcMar>
            <w:vAlign w:val="center"/>
          </w:tcPr>
          <w:p w14:paraId="72B1B48F">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left"/>
              <w:textAlignment w:val="auto"/>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雅安邮件处理中心、雅安市分公司本部、雨城区及名山区分公司车辆维修服务，招标人车辆集中地点为雅安市雨城区凤鸣物流园区</w:t>
            </w:r>
          </w:p>
        </w:tc>
        <w:tc>
          <w:tcPr>
            <w:tcW w:w="1490" w:type="pct"/>
            <w:tcBorders>
              <w:tl2br w:val="nil"/>
              <w:tr2bl w:val="nil"/>
            </w:tcBorders>
            <w:shd w:val="clear" w:color="auto" w:fill="auto"/>
            <w:noWrap/>
            <w:tcMar>
              <w:top w:w="15" w:type="dxa"/>
              <w:left w:w="15" w:type="dxa"/>
              <w:right w:w="15" w:type="dxa"/>
            </w:tcMar>
            <w:vAlign w:val="center"/>
          </w:tcPr>
          <w:p w14:paraId="75DA1206">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left"/>
              <w:textAlignment w:val="auto"/>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共72辆，其中雅安邮件处理中心生产车辆28辆，雅安市分公司本部行政车辆9辆，雨城区分公司车辆22辆，名山区分公司车辆13辆</w:t>
            </w:r>
          </w:p>
        </w:tc>
        <w:tc>
          <w:tcPr>
            <w:tcW w:w="608" w:type="pct"/>
            <w:tcBorders>
              <w:tl2br w:val="nil"/>
              <w:tr2bl w:val="nil"/>
            </w:tcBorders>
            <w:shd w:val="clear" w:color="auto" w:fill="auto"/>
            <w:noWrap/>
            <w:tcMar>
              <w:top w:w="15" w:type="dxa"/>
              <w:left w:w="15" w:type="dxa"/>
              <w:right w:w="15" w:type="dxa"/>
            </w:tcMar>
            <w:vAlign w:val="center"/>
          </w:tcPr>
          <w:p w14:paraId="07D6B332">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center"/>
              <w:textAlignment w:val="auto"/>
              <w:rPr>
                <w:rFonts w:ascii="宋体" w:eastAsia="宋体" w:hAnsi="宋体" w:cs="宋体" w:hint="default"/>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271.50</w:t>
            </w:r>
          </w:p>
        </w:tc>
      </w:tr>
      <w:bookmarkEnd w:id="2"/>
      <w:tr w14:paraId="242F6D03">
        <w:tblPrEx>
          <w:tblW w:w="4997" w:type="pct"/>
          <w:jc w:val="center"/>
          <w:shd w:val="clear" w:color="auto" w:fill="auto"/>
          <w:tblLayout w:type="fixed"/>
          <w:tblCellMar>
            <w:top w:w="0" w:type="dxa"/>
            <w:left w:w="0" w:type="dxa"/>
            <w:bottom w:w="0" w:type="dxa"/>
            <w:right w:w="0" w:type="dxa"/>
          </w:tblCellMar>
        </w:tblPrEx>
        <w:trPr>
          <w:trHeight w:val="23"/>
          <w:jc w:val="center"/>
        </w:trPr>
        <w:tc>
          <w:tcPr>
            <w:tcW w:w="1154" w:type="pct"/>
            <w:tcBorders>
              <w:tl2br w:val="nil"/>
              <w:tr2bl w:val="nil"/>
            </w:tcBorders>
            <w:shd w:val="clear" w:color="auto" w:fill="auto"/>
            <w:noWrap/>
            <w:tcMar>
              <w:top w:w="15" w:type="dxa"/>
              <w:left w:w="15" w:type="dxa"/>
              <w:right w:w="15" w:type="dxa"/>
            </w:tcMar>
            <w:vAlign w:val="center"/>
          </w:tcPr>
          <w:p w14:paraId="10388DF9">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center"/>
              <w:textAlignment w:val="auto"/>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包件2：荥经县、汉源县、石棉县分公司车辆维修</w:t>
            </w:r>
          </w:p>
        </w:tc>
        <w:tc>
          <w:tcPr>
            <w:tcW w:w="1746" w:type="pct"/>
            <w:tcBorders>
              <w:tl2br w:val="nil"/>
              <w:tr2bl w:val="nil"/>
            </w:tcBorders>
            <w:shd w:val="clear" w:color="auto" w:fill="auto"/>
            <w:noWrap/>
            <w:tcMar>
              <w:top w:w="15" w:type="dxa"/>
              <w:left w:w="15" w:type="dxa"/>
              <w:right w:w="15" w:type="dxa"/>
            </w:tcMar>
            <w:vAlign w:val="center"/>
          </w:tcPr>
          <w:p w14:paraId="4DFF4100">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left"/>
              <w:textAlignment w:val="auto"/>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荥经县、汉源县、石棉县分公司车辆维修服务，招标人车辆集中地点为雅安市汉源县富林镇江汉大道二段106号</w:t>
            </w:r>
          </w:p>
        </w:tc>
        <w:tc>
          <w:tcPr>
            <w:tcW w:w="1490" w:type="pct"/>
            <w:tcBorders>
              <w:tl2br w:val="nil"/>
              <w:tr2bl w:val="nil"/>
            </w:tcBorders>
            <w:shd w:val="clear" w:color="auto" w:fill="auto"/>
            <w:noWrap/>
            <w:tcMar>
              <w:top w:w="15" w:type="dxa"/>
              <w:left w:w="15" w:type="dxa"/>
              <w:right w:w="15" w:type="dxa"/>
            </w:tcMar>
            <w:vAlign w:val="center"/>
          </w:tcPr>
          <w:p w14:paraId="27B3C256">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left"/>
              <w:textAlignment w:val="auto"/>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共38辆，其中荥经县分公司车辆6辆，汉源县分公司车辆19辆，石棉县分公司车辆13辆</w:t>
            </w:r>
          </w:p>
        </w:tc>
        <w:tc>
          <w:tcPr>
            <w:tcW w:w="608" w:type="pct"/>
            <w:tcBorders>
              <w:tl2br w:val="nil"/>
              <w:tr2bl w:val="nil"/>
            </w:tcBorders>
            <w:shd w:val="clear" w:color="auto" w:fill="auto"/>
            <w:noWrap/>
            <w:tcMar>
              <w:top w:w="15" w:type="dxa"/>
              <w:left w:w="15" w:type="dxa"/>
              <w:right w:w="15" w:type="dxa"/>
            </w:tcMar>
            <w:vAlign w:val="center"/>
          </w:tcPr>
          <w:p w14:paraId="68982C2C">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center"/>
              <w:textAlignment w:val="auto"/>
              <w:rPr>
                <w:rFonts w:ascii="宋体" w:eastAsia="宋体" w:hAnsi="宋体" w:cs="宋体" w:hint="default"/>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81.00</w:t>
            </w:r>
          </w:p>
        </w:tc>
      </w:tr>
      <w:tr w14:paraId="70920AEA">
        <w:tblPrEx>
          <w:tblW w:w="4997" w:type="pct"/>
          <w:jc w:val="center"/>
          <w:shd w:val="clear" w:color="auto" w:fill="auto"/>
          <w:tblLayout w:type="fixed"/>
          <w:tblCellMar>
            <w:top w:w="0" w:type="dxa"/>
            <w:left w:w="0" w:type="dxa"/>
            <w:bottom w:w="0" w:type="dxa"/>
            <w:right w:w="0" w:type="dxa"/>
          </w:tblCellMar>
        </w:tblPrEx>
        <w:trPr>
          <w:trHeight w:val="23"/>
          <w:jc w:val="center"/>
        </w:trPr>
        <w:tc>
          <w:tcPr>
            <w:tcW w:w="1154" w:type="pct"/>
            <w:tcBorders>
              <w:tl2br w:val="nil"/>
              <w:tr2bl w:val="nil"/>
            </w:tcBorders>
            <w:shd w:val="clear" w:color="auto" w:fill="auto"/>
            <w:noWrap/>
            <w:tcMar>
              <w:top w:w="15" w:type="dxa"/>
              <w:left w:w="15" w:type="dxa"/>
              <w:right w:w="15" w:type="dxa"/>
            </w:tcMar>
            <w:vAlign w:val="center"/>
          </w:tcPr>
          <w:p w14:paraId="60AB625C">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center"/>
              <w:textAlignment w:val="auto"/>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包件3：天全县、芦山县、宝兴县分公司车辆维修</w:t>
            </w:r>
          </w:p>
        </w:tc>
        <w:tc>
          <w:tcPr>
            <w:tcW w:w="1746" w:type="pct"/>
            <w:tcBorders>
              <w:tl2br w:val="nil"/>
              <w:tr2bl w:val="nil"/>
            </w:tcBorders>
            <w:shd w:val="clear" w:color="auto" w:fill="auto"/>
            <w:noWrap/>
            <w:tcMar>
              <w:top w:w="15" w:type="dxa"/>
              <w:left w:w="15" w:type="dxa"/>
              <w:right w:w="15" w:type="dxa"/>
            </w:tcMar>
            <w:vAlign w:val="center"/>
          </w:tcPr>
          <w:p w14:paraId="0E6F062C">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left"/>
              <w:textAlignment w:val="auto"/>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天全县、芦山县、宝兴县分公司车辆维修服务，招标人车辆集中地点为雅安市天全县灯盏路256号</w:t>
            </w:r>
          </w:p>
        </w:tc>
        <w:tc>
          <w:tcPr>
            <w:tcW w:w="1490" w:type="pct"/>
            <w:tcBorders>
              <w:tl2br w:val="nil"/>
              <w:tr2bl w:val="nil"/>
            </w:tcBorders>
            <w:shd w:val="clear" w:color="auto" w:fill="auto"/>
            <w:noWrap/>
            <w:tcMar>
              <w:top w:w="15" w:type="dxa"/>
              <w:left w:w="15" w:type="dxa"/>
              <w:right w:w="15" w:type="dxa"/>
            </w:tcMar>
            <w:vAlign w:val="center"/>
          </w:tcPr>
          <w:p w14:paraId="65682470">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left"/>
              <w:textAlignment w:val="auto"/>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共21辆，其中天全县分公司车辆8辆，芦山县分公司车辆6辆，宝兴县分公司车辆7辆</w:t>
            </w:r>
          </w:p>
        </w:tc>
        <w:tc>
          <w:tcPr>
            <w:tcW w:w="608" w:type="pct"/>
            <w:tcBorders>
              <w:tl2br w:val="nil"/>
              <w:tr2bl w:val="nil"/>
            </w:tcBorders>
            <w:shd w:val="clear" w:color="auto" w:fill="auto"/>
            <w:noWrap/>
            <w:tcMar>
              <w:top w:w="15" w:type="dxa"/>
              <w:left w:w="15" w:type="dxa"/>
              <w:right w:w="15" w:type="dxa"/>
            </w:tcMar>
            <w:vAlign w:val="center"/>
          </w:tcPr>
          <w:p w14:paraId="2CBF1D24">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center"/>
              <w:textAlignment w:val="auto"/>
              <w:rPr>
                <w:rFonts w:ascii="宋体" w:eastAsia="宋体" w:hAnsi="宋体" w:cs="宋体" w:hint="default"/>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37.50</w:t>
            </w:r>
          </w:p>
        </w:tc>
      </w:tr>
      <w:tr w14:paraId="002ABC46">
        <w:tblPrEx>
          <w:tblW w:w="4997" w:type="pct"/>
          <w:jc w:val="center"/>
          <w:shd w:val="clear" w:color="auto" w:fill="auto"/>
          <w:tblLayout w:type="fixed"/>
          <w:tblCellMar>
            <w:top w:w="0" w:type="dxa"/>
            <w:left w:w="0" w:type="dxa"/>
            <w:bottom w:w="0" w:type="dxa"/>
            <w:right w:w="0" w:type="dxa"/>
          </w:tblCellMar>
        </w:tblPrEx>
        <w:trPr>
          <w:trHeight w:val="23"/>
          <w:jc w:val="center"/>
        </w:trPr>
        <w:tc>
          <w:tcPr>
            <w:tcW w:w="4391" w:type="pct"/>
            <w:gridSpan w:val="3"/>
            <w:tcBorders>
              <w:tl2br w:val="nil"/>
              <w:tr2bl w:val="nil"/>
            </w:tcBorders>
            <w:shd w:val="clear" w:color="auto" w:fill="auto"/>
            <w:noWrap/>
            <w:tcMar>
              <w:top w:w="15" w:type="dxa"/>
              <w:left w:w="15" w:type="dxa"/>
              <w:right w:w="15" w:type="dxa"/>
            </w:tcMar>
            <w:vAlign w:val="center"/>
          </w:tcPr>
          <w:p w14:paraId="7EA35019">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center"/>
              <w:textAlignment w:val="auto"/>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合计</w:t>
            </w:r>
          </w:p>
        </w:tc>
        <w:tc>
          <w:tcPr>
            <w:tcW w:w="608" w:type="pct"/>
            <w:tcBorders>
              <w:tl2br w:val="nil"/>
              <w:tr2bl w:val="nil"/>
            </w:tcBorders>
            <w:shd w:val="clear" w:color="auto" w:fill="auto"/>
            <w:noWrap/>
            <w:tcMar>
              <w:top w:w="15" w:type="dxa"/>
              <w:left w:w="15" w:type="dxa"/>
              <w:right w:w="15" w:type="dxa"/>
            </w:tcMar>
            <w:vAlign w:val="center"/>
          </w:tcPr>
          <w:p w14:paraId="323FC767">
            <w:pPr>
              <w:keepNext w:val="0"/>
              <w:keepLines w:val="0"/>
              <w:pageBreakBefore w:val="0"/>
              <w:widowControl w:val="0"/>
              <w:tabs>
                <w:tab w:val="left" w:pos="-108"/>
              </w:tabs>
              <w:kinsoku/>
              <w:wordWrap/>
              <w:overflowPunct/>
              <w:topLinePunct w:val="0"/>
              <w:autoSpaceDE/>
              <w:autoSpaceDN/>
              <w:bidi w:val="0"/>
              <w:adjustRightInd/>
              <w:snapToGrid/>
              <w:spacing w:after="0" w:line="360" w:lineRule="auto"/>
              <w:ind w:left="0" w:right="0" w:firstLine="0" w:leftChars="0" w:firstLineChars="0"/>
              <w:jc w:val="center"/>
              <w:textAlignment w:val="auto"/>
              <w:rPr>
                <w:rFonts w:ascii="宋体" w:eastAsia="宋体" w:hAnsi="宋体" w:cs="宋体" w:hint="default"/>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390.00</w:t>
            </w:r>
          </w:p>
        </w:tc>
      </w:tr>
    </w:tbl>
    <w:p w14:paraId="19CD3C2C">
      <w:pPr>
        <w:widowControl/>
        <w:numPr>
          <w:ilvl w:val="0"/>
          <w:numId w:val="1"/>
        </w:numPr>
        <w:tabs>
          <w:tab w:val="left" w:pos="540"/>
          <w:tab w:val="clear" w:pos="720"/>
        </w:tabs>
        <w:autoSpaceDE w:val="0"/>
        <w:autoSpaceDN w:val="0"/>
        <w:spacing w:before="156" w:beforeLines="50" w:after="156" w:afterLines="50" w:line="240" w:lineRule="atLeast"/>
        <w:ind w:left="539" w:right="-23" w:hanging="539"/>
        <w:textAlignment w:val="bottom"/>
        <w:rPr>
          <w:rFonts w:ascii="宋体" w:eastAsia="宋体" w:hAnsi="宋体" w:cs="宋体"/>
          <w:b/>
          <w:sz w:val="24"/>
          <w:highlight w:val="none"/>
        </w:rPr>
      </w:pPr>
      <w:r>
        <w:rPr>
          <w:rFonts w:ascii="宋体" w:eastAsia="宋体" w:hAnsi="宋体" w:cs="宋体" w:hint="eastAsia"/>
          <w:b/>
          <w:sz w:val="24"/>
          <w:highlight w:val="none"/>
        </w:rPr>
        <w:t>投标人资格条件：</w:t>
      </w:r>
    </w:p>
    <w:p w14:paraId="6C7A02C1">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color w:val="auto"/>
          <w:sz w:val="24"/>
          <w:szCs w:val="24"/>
          <w:highlight w:val="none"/>
          <w:u w:val="none"/>
          <w:lang w:val="en-US" w:eastAsia="zh-CN"/>
        </w:rPr>
      </w:pPr>
      <w:r>
        <w:rPr>
          <w:rFonts w:ascii="宋体" w:eastAsia="宋体" w:hAnsi="宋体" w:cs="宋体" w:hint="eastAsia"/>
          <w:color w:val="auto"/>
          <w:sz w:val="24"/>
          <w:szCs w:val="24"/>
          <w:highlight w:val="none"/>
          <w:u w:val="none"/>
          <w:lang w:val="en-US" w:eastAsia="zh-CN"/>
        </w:rPr>
        <w:t>1.供应商必须是在中华人民共和国境内(港澳台除外)依法注册的、具有独立法人资格、能独立承担民事责任的、有能力为本项目提供货物和服务的单位。</w:t>
      </w:r>
    </w:p>
    <w:p w14:paraId="294674D5">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color w:val="auto"/>
          <w:sz w:val="24"/>
          <w:szCs w:val="24"/>
          <w:highlight w:val="none"/>
          <w:u w:val="none"/>
          <w:lang w:val="en-US" w:eastAsia="zh-CN"/>
        </w:rPr>
      </w:pPr>
      <w:r>
        <w:rPr>
          <w:rFonts w:ascii="宋体" w:eastAsia="宋体" w:hAnsi="宋体" w:cs="宋体" w:hint="eastAsia"/>
          <w:color w:val="auto"/>
          <w:sz w:val="24"/>
          <w:szCs w:val="24"/>
          <w:highlight w:val="none"/>
          <w:u w:val="none"/>
          <w:lang w:val="en-US" w:eastAsia="zh-CN"/>
        </w:rPr>
        <w:t>2.供应商具有健全的财务会计制度。</w:t>
      </w:r>
    </w:p>
    <w:p w14:paraId="3521319C">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color w:val="auto"/>
          <w:sz w:val="24"/>
          <w:szCs w:val="24"/>
          <w:highlight w:val="none"/>
          <w:u w:val="none"/>
          <w:lang w:val="en-US" w:eastAsia="zh-CN"/>
        </w:rPr>
      </w:pPr>
      <w:r>
        <w:rPr>
          <w:rFonts w:ascii="宋体" w:eastAsia="宋体" w:hAnsi="宋体" w:cs="宋体" w:hint="eastAsia"/>
          <w:color w:val="auto"/>
          <w:sz w:val="24"/>
          <w:szCs w:val="24"/>
          <w:highlight w:val="none"/>
          <w:u w:val="none"/>
          <w:lang w:val="en-US" w:eastAsia="zh-CN"/>
        </w:rPr>
        <w:t>3.包1供应商须具有自2022年1月1日起不少于1个国有企事业单位机动车维修保养服务业绩（需提供合同及有效结算凭证等证明材料）；包2、包3的供应商须具有自2022年1月1日起不少于1个企事业单位机动车维修保养服务业绩（需提供合同及有效结算凭证等证明材料）。</w:t>
      </w:r>
    </w:p>
    <w:p w14:paraId="1E00A512">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color w:val="auto"/>
          <w:sz w:val="24"/>
          <w:szCs w:val="24"/>
          <w:highlight w:val="none"/>
          <w:u w:val="none"/>
          <w:lang w:val="en-US" w:eastAsia="zh-CN"/>
        </w:rPr>
      </w:pPr>
      <w:r>
        <w:rPr>
          <w:rFonts w:ascii="宋体" w:eastAsia="宋体" w:hAnsi="宋体" w:cs="宋体" w:hint="eastAsia"/>
          <w:color w:val="auto"/>
          <w:sz w:val="24"/>
          <w:szCs w:val="24"/>
          <w:highlight w:val="none"/>
          <w:u w:val="none"/>
          <w:lang w:val="en-US" w:eastAsia="zh-CN"/>
        </w:rPr>
        <w:t>4.包1供应商须具有交通主管部门颁发的有效的二类汽车维修及以上资质证书（须具备大型货车维修资质）（需提供投标人营业执照、机动车维修经营备案表复印件并加盖公章）；包2、包3供应商须具有交通主管部门颁发的有效的三类汽车维修及以上资质证书（需提供投标人营业执照、机动车维修经营备案表复印件并加盖公章）。</w:t>
      </w:r>
    </w:p>
    <w:p w14:paraId="1438140A">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color w:val="auto"/>
          <w:sz w:val="24"/>
          <w:szCs w:val="24"/>
          <w:highlight w:val="none"/>
          <w:u w:val="none"/>
          <w:lang w:val="en-US" w:eastAsia="zh-CN"/>
        </w:rPr>
      </w:pPr>
      <w:r>
        <w:rPr>
          <w:rFonts w:ascii="宋体" w:eastAsia="宋体" w:hAnsi="宋体" w:cs="宋体" w:hint="eastAsia"/>
          <w:color w:val="auto"/>
          <w:sz w:val="24"/>
          <w:szCs w:val="24"/>
          <w:highlight w:val="none"/>
          <w:u w:val="none"/>
          <w:lang w:val="en-US" w:eastAsia="zh-CN"/>
        </w:rPr>
        <w:t>5.包1供应商提供的维修服务场地与招标人车辆集中地点的导航距离（非高速）不超过18公里；包2、包3供应商提供的维修服务场地与招标人车辆集中地点的导航距离不超过10公里。（分别以各分包的招标人车辆集中地点为起点，需提供百度地图或高德地图的驾车导航行驶距离查询截图并加盖公章）</w:t>
      </w:r>
    </w:p>
    <w:p w14:paraId="09DB294A">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color w:val="auto"/>
          <w:sz w:val="24"/>
          <w:szCs w:val="24"/>
          <w:highlight w:val="none"/>
          <w:u w:val="none"/>
          <w:lang w:val="en-US" w:eastAsia="zh-CN"/>
        </w:rPr>
      </w:pPr>
      <w:r>
        <w:rPr>
          <w:rFonts w:ascii="宋体" w:eastAsia="宋体" w:hAnsi="宋体" w:cs="宋体" w:hint="eastAsia"/>
          <w:color w:val="auto"/>
          <w:sz w:val="24"/>
          <w:szCs w:val="24"/>
          <w:highlight w:val="none"/>
          <w:u w:val="none"/>
          <w:lang w:val="en-US" w:eastAsia="zh-CN"/>
        </w:rPr>
        <w:t>6.供应商具有履行合同所必需的设备和专业技术能力。</w:t>
      </w:r>
    </w:p>
    <w:p w14:paraId="4F94202F">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color w:val="auto"/>
          <w:sz w:val="24"/>
          <w:szCs w:val="24"/>
          <w:highlight w:val="none"/>
          <w:u w:val="none"/>
          <w:lang w:val="en-US" w:eastAsia="zh-CN"/>
        </w:rPr>
      </w:pPr>
      <w:r>
        <w:rPr>
          <w:rFonts w:ascii="宋体" w:eastAsia="宋体" w:hAnsi="宋体" w:cs="宋体" w:hint="eastAsia"/>
          <w:color w:val="auto"/>
          <w:sz w:val="24"/>
          <w:szCs w:val="24"/>
          <w:highlight w:val="none"/>
          <w:u w:val="none"/>
          <w:lang w:val="en-US" w:eastAsia="zh-CN"/>
        </w:rPr>
        <w:t>7.供应商具有依法缴纳税收和社会保障资金的良好记录，能够开具增值税专用发票。</w:t>
      </w:r>
    </w:p>
    <w:p w14:paraId="4D3995FF">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color w:val="auto"/>
          <w:sz w:val="24"/>
          <w:szCs w:val="24"/>
          <w:highlight w:val="none"/>
          <w:u w:val="none"/>
          <w:lang w:val="en-US" w:eastAsia="zh-CN"/>
        </w:rPr>
      </w:pPr>
      <w:r>
        <w:rPr>
          <w:rFonts w:ascii="宋体" w:eastAsia="宋体" w:hAnsi="宋体" w:cs="宋体" w:hint="eastAsia"/>
          <w:color w:val="auto"/>
          <w:sz w:val="24"/>
          <w:szCs w:val="24"/>
          <w:highlight w:val="none"/>
          <w:u w:val="none"/>
          <w:lang w:val="en-US" w:eastAsia="zh-CN"/>
        </w:rPr>
        <w:t>8.本项目采用电子开标方式，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并将对应供应商列入四川邮政省分公司采购供应商黑名单。</w:t>
      </w:r>
    </w:p>
    <w:p w14:paraId="24E835BF">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color w:val="auto"/>
          <w:sz w:val="24"/>
          <w:szCs w:val="24"/>
          <w:highlight w:val="none"/>
          <w:u w:val="none"/>
          <w:lang w:val="en-US" w:eastAsia="zh-CN"/>
        </w:rPr>
      </w:pPr>
      <w:r>
        <w:rPr>
          <w:rFonts w:ascii="宋体" w:eastAsia="宋体" w:hAnsi="宋体" w:cs="宋体" w:hint="eastAsia"/>
          <w:color w:val="auto"/>
          <w:sz w:val="24"/>
          <w:szCs w:val="24"/>
          <w:highlight w:val="none"/>
          <w:u w:val="none"/>
          <w:lang w:val="en-US" w:eastAsia="zh-CN"/>
        </w:rPr>
        <w:t>9.供应商必须遵守国家相关法律、行政法规的规定，具有良好的信誉和诚实的商业道德。</w:t>
      </w:r>
    </w:p>
    <w:p w14:paraId="1024069B">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color w:val="auto"/>
          <w:sz w:val="24"/>
          <w:szCs w:val="24"/>
          <w:highlight w:val="none"/>
          <w:u w:val="none"/>
          <w:lang w:val="en-US" w:eastAsia="zh-CN"/>
        </w:rPr>
      </w:pPr>
      <w:r>
        <w:rPr>
          <w:rFonts w:ascii="宋体" w:eastAsia="宋体" w:hAnsi="宋体" w:cs="宋体" w:hint="eastAsia"/>
          <w:color w:val="auto"/>
          <w:sz w:val="24"/>
          <w:szCs w:val="24"/>
          <w:highlight w:val="none"/>
          <w:u w:val="none"/>
          <w:lang w:val="en-US" w:eastAsia="zh-CN"/>
        </w:rPr>
        <w:t>10.被“信用中国”（www.creditchina.gov.cn）列入失信被执行人名单的供应商，被中国政府采购网（www.ccgp.gov.cn）列入政府采购严重违法失信行为记录名单的供应商，被中国邮政集团有限公司列入黑名单且在有效期内的供应商，均无资格参加本项目的采购活动。</w:t>
      </w:r>
    </w:p>
    <w:p w14:paraId="753099C1">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color w:val="auto"/>
          <w:sz w:val="24"/>
          <w:szCs w:val="24"/>
          <w:highlight w:val="none"/>
          <w:u w:val="none"/>
          <w:lang w:val="en-US" w:eastAsia="zh-CN"/>
        </w:rPr>
      </w:pPr>
      <w:r>
        <w:rPr>
          <w:rFonts w:ascii="宋体" w:eastAsia="宋体" w:hAnsi="宋体" w:cs="宋体" w:hint="eastAsia"/>
          <w:color w:val="auto"/>
          <w:sz w:val="24"/>
          <w:szCs w:val="24"/>
          <w:highlight w:val="none"/>
          <w:u w:val="none"/>
          <w:lang w:val="en-US" w:eastAsia="zh-CN"/>
        </w:rPr>
        <w:t>11.被中国邮政集团有限公司四川省分公司列入黑名单且在有效期内的供应商，无资格参加本项目的采购活动。</w:t>
      </w:r>
    </w:p>
    <w:p w14:paraId="57E5B34C">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color w:val="auto"/>
          <w:sz w:val="24"/>
          <w:szCs w:val="24"/>
          <w:highlight w:val="none"/>
          <w:u w:val="none"/>
          <w:lang w:val="en-US" w:eastAsia="zh-CN"/>
        </w:rPr>
      </w:pPr>
      <w:r>
        <w:rPr>
          <w:rFonts w:ascii="宋体" w:eastAsia="宋体" w:hAnsi="宋体" w:cs="宋体" w:hint="eastAsia"/>
          <w:color w:val="auto"/>
          <w:sz w:val="24"/>
          <w:szCs w:val="24"/>
          <w:highlight w:val="none"/>
          <w:u w:val="none"/>
          <w:lang w:val="en-US" w:eastAsia="zh-CN"/>
        </w:rPr>
        <w:t>12.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07271B52">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color w:val="auto"/>
          <w:sz w:val="24"/>
          <w:szCs w:val="24"/>
          <w:highlight w:val="none"/>
          <w:u w:val="none"/>
          <w:lang w:val="en-US" w:eastAsia="zh-CN"/>
        </w:rPr>
      </w:pPr>
      <w:r>
        <w:rPr>
          <w:rFonts w:ascii="宋体" w:eastAsia="宋体" w:hAnsi="宋体" w:cs="宋体" w:hint="eastAsia"/>
          <w:color w:val="auto"/>
          <w:sz w:val="24"/>
          <w:szCs w:val="24"/>
          <w:highlight w:val="none"/>
          <w:u w:val="none"/>
          <w:lang w:val="en-US" w:eastAsia="zh-CN"/>
        </w:rPr>
        <w:t>13.具有投资参股关系的关联企业，单位负责人为同一人或为直系亲属关系的不同供应商，或存在直接控股、管理关系的不同供应商，不得参加同一标段投标或者未划分标段的同一招标项目投标。</w:t>
      </w:r>
    </w:p>
    <w:p w14:paraId="2E99883A">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color w:val="auto"/>
          <w:sz w:val="24"/>
          <w:szCs w:val="24"/>
          <w:highlight w:val="none"/>
          <w:u w:val="none"/>
          <w:lang w:val="en-US" w:eastAsia="zh-CN"/>
        </w:rPr>
      </w:pPr>
      <w:r>
        <w:rPr>
          <w:rFonts w:ascii="宋体" w:eastAsia="宋体" w:hAnsi="宋体" w:cs="宋体" w:hint="eastAsia"/>
          <w:color w:val="auto"/>
          <w:sz w:val="24"/>
          <w:szCs w:val="24"/>
          <w:highlight w:val="none"/>
          <w:u w:val="none"/>
          <w:lang w:val="en-US" w:eastAsia="zh-CN"/>
        </w:rPr>
        <w:t>14.本项目禁止涉及邮政企业“小金库”违规供应商参与。</w:t>
      </w:r>
    </w:p>
    <w:p w14:paraId="3AF65A3A">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color w:val="auto"/>
          <w:sz w:val="24"/>
          <w:szCs w:val="24"/>
          <w:highlight w:val="none"/>
          <w:u w:val="none"/>
          <w:lang w:val="en-US" w:eastAsia="zh-CN"/>
        </w:rPr>
      </w:pPr>
      <w:r>
        <w:rPr>
          <w:rFonts w:ascii="宋体" w:eastAsia="宋体" w:hAnsi="宋体" w:cs="宋体" w:hint="eastAsia"/>
          <w:color w:val="auto"/>
          <w:sz w:val="24"/>
          <w:szCs w:val="24"/>
          <w:highlight w:val="none"/>
          <w:u w:val="none"/>
          <w:lang w:val="en-US" w:eastAsia="zh-CN"/>
        </w:rPr>
        <w:t>15.本项目投标期间，供应商未处于有关行政处罚期间, 未处于被责令停业、投标资格被取消或者财产被接管、冻结和破产状态。</w:t>
      </w:r>
    </w:p>
    <w:p w14:paraId="7687B026">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color w:val="auto"/>
          <w:sz w:val="24"/>
          <w:szCs w:val="24"/>
          <w:highlight w:val="none"/>
          <w:u w:val="none"/>
          <w:lang w:val="en-US" w:eastAsia="zh-CN"/>
        </w:rPr>
      </w:pPr>
      <w:r>
        <w:rPr>
          <w:rFonts w:ascii="宋体" w:eastAsia="宋体" w:hAnsi="宋体" w:cs="宋体" w:hint="eastAsia"/>
          <w:color w:val="auto"/>
          <w:sz w:val="24"/>
          <w:szCs w:val="24"/>
          <w:highlight w:val="none"/>
          <w:u w:val="none"/>
          <w:lang w:val="en-US" w:eastAsia="zh-CN"/>
        </w:rPr>
        <w:t>16.供应商参加本项目采购活动前三年内，在经营活动中没有重大违法记录。</w:t>
      </w:r>
    </w:p>
    <w:p w14:paraId="353BBDC5">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color w:val="auto"/>
          <w:sz w:val="24"/>
          <w:szCs w:val="24"/>
          <w:highlight w:val="none"/>
          <w:u w:val="none"/>
          <w:lang w:val="en-US" w:eastAsia="zh-CN"/>
        </w:rPr>
      </w:pPr>
      <w:r>
        <w:rPr>
          <w:rFonts w:ascii="宋体" w:eastAsia="宋体" w:hAnsi="宋体" w:cs="宋体" w:hint="eastAsia"/>
          <w:color w:val="auto"/>
          <w:sz w:val="24"/>
          <w:szCs w:val="24"/>
          <w:highlight w:val="none"/>
          <w:u w:val="none"/>
          <w:lang w:val="en-US" w:eastAsia="zh-CN"/>
        </w:rPr>
        <w:t>17.本项目不接受联合体投标，不允许转包、分包。</w:t>
      </w:r>
    </w:p>
    <w:p w14:paraId="47372E62">
      <w:pPr>
        <w:keepNext w:val="0"/>
        <w:keepLines w:val="0"/>
        <w:pageBreakBefore w:val="0"/>
        <w:kinsoku/>
        <w:wordWrap/>
        <w:overflowPunct/>
        <w:topLinePunct w:val="0"/>
        <w:autoSpaceDN/>
        <w:bidi w:val="0"/>
        <w:adjustRightInd/>
        <w:snapToGrid/>
        <w:spacing w:line="360" w:lineRule="auto"/>
        <w:ind w:left="0" w:firstLine="480" w:firstLineChars="200"/>
        <w:jc w:val="left"/>
        <w:rPr>
          <w:rFonts w:ascii="宋体" w:eastAsia="宋体" w:hAnsi="宋体" w:cs="宋体" w:hint="eastAsia"/>
          <w:sz w:val="24"/>
          <w:szCs w:val="24"/>
          <w:highlight w:val="none"/>
          <w:lang w:bidi="ar"/>
        </w:rPr>
      </w:pPr>
      <w:r>
        <w:rPr>
          <w:rFonts w:ascii="宋体" w:eastAsia="宋体" w:hAnsi="宋体" w:cs="宋体" w:hint="eastAsia"/>
          <w:color w:val="auto"/>
          <w:sz w:val="24"/>
          <w:szCs w:val="24"/>
          <w:highlight w:val="none"/>
          <w:u w:val="none"/>
          <w:lang w:val="en-US" w:eastAsia="zh-CN"/>
        </w:rPr>
        <w:t>18.供应商具备法律、行政法规规定的其他条件。</w:t>
      </w:r>
    </w:p>
    <w:p w14:paraId="0CC7DC75">
      <w:pPr>
        <w:widowControl/>
        <w:numPr>
          <w:ilvl w:val="0"/>
          <w:numId w:val="1"/>
        </w:numPr>
        <w:tabs>
          <w:tab w:val="left" w:pos="540"/>
          <w:tab w:val="clear" w:pos="720"/>
        </w:tabs>
        <w:autoSpaceDE w:val="0"/>
        <w:autoSpaceDN w:val="0"/>
        <w:spacing w:after="156" w:afterLines="50" w:line="240" w:lineRule="atLeast"/>
        <w:ind w:left="540" w:right="-20" w:hanging="540"/>
        <w:textAlignment w:val="bottom"/>
        <w:rPr>
          <w:rFonts w:ascii="宋体" w:eastAsia="宋体" w:hAnsi="宋体" w:cs="宋体"/>
          <w:b/>
          <w:sz w:val="24"/>
          <w:highlight w:val="none"/>
        </w:rPr>
      </w:pPr>
      <w:r>
        <w:rPr>
          <w:rFonts w:ascii="宋体" w:eastAsia="宋体" w:hAnsi="宋体" w:cs="宋体" w:hint="eastAsia"/>
          <w:b/>
          <w:sz w:val="24"/>
          <w:highlight w:val="none"/>
        </w:rPr>
        <w:t>招标文件的获取方式：</w:t>
      </w:r>
    </w:p>
    <w:p w14:paraId="1D60181A">
      <w:pPr>
        <w:keepLines w:val="0"/>
        <w:pageBreakBefore w:val="0"/>
        <w:widowControl/>
        <w:kinsoku/>
        <w:wordWrap/>
        <w:overflowPunct/>
        <w:topLinePunct w:val="0"/>
        <w:autoSpaceDE w:val="0"/>
        <w:autoSpaceDN w:val="0"/>
        <w:bidi w:val="0"/>
        <w:spacing w:line="360" w:lineRule="auto"/>
        <w:ind w:left="0" w:right="0"/>
        <w:textAlignment w:val="bottom"/>
        <w:rPr>
          <w:rFonts w:asciiTheme="minorEastAsia" w:eastAsiaTheme="minorEastAsia" w:hAnsiTheme="minorEastAsia" w:cstheme="minorEastAsia"/>
          <w:b/>
          <w:bCs/>
          <w:color w:val="auto"/>
          <w:sz w:val="24"/>
        </w:rPr>
      </w:pPr>
      <w:r>
        <w:rPr>
          <w:rFonts w:asciiTheme="minorEastAsia" w:eastAsiaTheme="minorEastAsia" w:hAnsiTheme="minorEastAsia" w:cstheme="minorEastAsia" w:hint="eastAsia"/>
          <w:b/>
          <w:bCs/>
          <w:color w:val="auto"/>
          <w:sz w:val="24"/>
        </w:rPr>
        <w:t>（一）办理CA证书</w:t>
      </w:r>
    </w:p>
    <w:p w14:paraId="1D2BD08B">
      <w:pPr>
        <w:keepLines w:val="0"/>
        <w:pageBreakBefore w:val="0"/>
        <w:widowControl/>
        <w:kinsoku/>
        <w:wordWrap/>
        <w:overflowPunct/>
        <w:topLinePunct w:val="0"/>
        <w:autoSpaceDE w:val="0"/>
        <w:autoSpaceDN w:val="0"/>
        <w:bidi w:val="0"/>
        <w:spacing w:line="360" w:lineRule="auto"/>
        <w:ind w:left="0" w:right="0" w:firstLine="480" w:firstLineChars="200"/>
        <w:textAlignment w:val="bottom"/>
        <w:rPr>
          <w:rFonts w:asciiTheme="minorEastAsia" w:eastAsiaTheme="minorEastAsia" w:hAnsiTheme="minorEastAsia" w:cstheme="minorEastAsia"/>
          <w:color w:val="auto"/>
          <w:spacing w:val="-4"/>
          <w:kern w:val="0"/>
          <w:sz w:val="24"/>
        </w:rPr>
      </w:pPr>
      <w:r>
        <w:rPr>
          <w:rFonts w:asciiTheme="minorEastAsia" w:eastAsiaTheme="minorEastAsia" w:hAnsiTheme="minorEastAsia" w:cstheme="minorEastAsia" w:hint="eastAsia"/>
          <w:color w:val="auto"/>
          <w:sz w:val="24"/>
        </w:rPr>
        <w:t>1.登录</w:t>
      </w:r>
      <w:r>
        <w:rPr>
          <w:rFonts w:asciiTheme="minorEastAsia" w:eastAsiaTheme="minorEastAsia" w:hAnsiTheme="minorEastAsia" w:cstheme="minorEastAsia" w:hint="eastAsia"/>
          <w:bCs/>
          <w:color w:val="auto"/>
          <w:kern w:val="0"/>
          <w:sz w:val="24"/>
        </w:rPr>
        <w:t>“中国邮政电子采购与供应平台”</w:t>
      </w:r>
      <w:r>
        <w:rPr>
          <w:rFonts w:asciiTheme="minorEastAsia" w:eastAsiaTheme="minorEastAsia" w:hAnsiTheme="minorEastAsia" w:cstheme="minorEastAsia" w:hint="eastAsia"/>
          <w:color w:val="auto"/>
          <w:spacing w:val="-4"/>
          <w:kern w:val="0"/>
          <w:sz w:val="24"/>
        </w:rPr>
        <w:t>（https://cg.11185.cn）办理CA证书。</w:t>
      </w:r>
    </w:p>
    <w:p w14:paraId="680085EA">
      <w:pPr>
        <w:keepLines w:val="0"/>
        <w:pageBreakBefore w:val="0"/>
        <w:widowControl/>
        <w:kinsoku/>
        <w:wordWrap/>
        <w:overflowPunct/>
        <w:topLinePunct w:val="0"/>
        <w:autoSpaceDE w:val="0"/>
        <w:autoSpaceDN w:val="0"/>
        <w:bidi w:val="0"/>
        <w:spacing w:line="360" w:lineRule="auto"/>
        <w:ind w:left="0" w:right="0" w:firstLine="480" w:firstLineChars="200"/>
        <w:textAlignment w:val="bottom"/>
        <w:rPr>
          <w:rFonts w:asciiTheme="minorEastAsia" w:eastAsiaTheme="minorEastAsia" w:hAnsiTheme="minorEastAsia" w:cstheme="minorEastAsia"/>
          <w:color w:val="auto"/>
          <w:sz w:val="24"/>
        </w:rPr>
      </w:pPr>
      <w:r>
        <w:rPr>
          <w:rFonts w:asciiTheme="minorEastAsia" w:eastAsiaTheme="minorEastAsia" w:hAnsiTheme="minorEastAsia" w:cstheme="minorEastAsia" w:hint="eastAsia"/>
          <w:color w:val="auto"/>
          <w:sz w:val="24"/>
        </w:rPr>
        <w:t>2.流程：注册→登录→【CA办理】→查找对应项目→报名→填写相关信息→审核→下载招标文件。</w:t>
      </w:r>
    </w:p>
    <w:p w14:paraId="094320B6">
      <w:pPr>
        <w:keepLines w:val="0"/>
        <w:pageBreakBefore w:val="0"/>
        <w:widowControl/>
        <w:kinsoku/>
        <w:wordWrap/>
        <w:overflowPunct/>
        <w:topLinePunct w:val="0"/>
        <w:autoSpaceDE w:val="0"/>
        <w:autoSpaceDN w:val="0"/>
        <w:bidi w:val="0"/>
        <w:spacing w:line="360" w:lineRule="auto"/>
        <w:ind w:left="0" w:right="0" w:firstLine="480" w:firstLineChars="200"/>
        <w:textAlignment w:val="bottom"/>
        <w:rPr>
          <w:rFonts w:asciiTheme="minorEastAsia" w:eastAsiaTheme="minorEastAsia" w:hAnsiTheme="minorEastAsia" w:cstheme="minorEastAsia"/>
          <w:color w:val="auto"/>
          <w:spacing w:val="-4"/>
          <w:kern w:val="0"/>
          <w:sz w:val="24"/>
        </w:rPr>
      </w:pPr>
      <w:r>
        <w:rPr>
          <w:rFonts w:asciiTheme="minorEastAsia" w:eastAsiaTheme="minorEastAsia" w:hAnsiTheme="minorEastAsia" w:cstheme="minorEastAsia" w:hint="eastAsia"/>
          <w:color w:val="auto"/>
          <w:sz w:val="24"/>
        </w:rPr>
        <w:t>3.</w:t>
      </w:r>
      <w:r>
        <w:rPr>
          <w:rFonts w:asciiTheme="minorEastAsia" w:eastAsiaTheme="minorEastAsia" w:hAnsiTheme="minorEastAsia" w:cstheme="minorEastAsia" w:hint="eastAsia"/>
          <w:color w:val="auto"/>
          <w:spacing w:val="-4"/>
          <w:kern w:val="0"/>
          <w:sz w:val="24"/>
        </w:rPr>
        <w:t>CA证书办理、“</w:t>
      </w:r>
      <w:r>
        <w:rPr>
          <w:rFonts w:asciiTheme="minorEastAsia" w:eastAsiaTheme="minorEastAsia" w:hAnsiTheme="minorEastAsia" w:cstheme="minorEastAsia" w:hint="eastAsia"/>
          <w:bCs/>
          <w:color w:val="auto"/>
          <w:kern w:val="0"/>
          <w:sz w:val="24"/>
        </w:rPr>
        <w:t>中国邮政电子采购与供应平台”</w:t>
      </w:r>
      <w:r>
        <w:rPr>
          <w:rFonts w:asciiTheme="minorEastAsia" w:eastAsiaTheme="minorEastAsia" w:hAnsiTheme="minorEastAsia" w:cstheme="minorEastAsia" w:hint="eastAsia"/>
          <w:color w:val="auto"/>
          <w:spacing w:val="-4"/>
          <w:kern w:val="0"/>
          <w:sz w:val="24"/>
        </w:rPr>
        <w:t>操作相关事宜请下载“平台首页</w:t>
      </w:r>
      <w:r>
        <w:rPr>
          <w:rFonts w:asciiTheme="minorEastAsia" w:eastAsiaTheme="minorEastAsia" w:hAnsiTheme="minorEastAsia" w:cstheme="minorEastAsia" w:hint="eastAsia"/>
          <w:color w:val="auto"/>
          <w:sz w:val="24"/>
        </w:rPr>
        <w:t>—</w:t>
      </w:r>
      <w:r>
        <w:rPr>
          <w:rFonts w:asciiTheme="minorEastAsia" w:eastAsiaTheme="minorEastAsia" w:hAnsiTheme="minorEastAsia" w:cstheme="minorEastAsia" w:hint="eastAsia"/>
          <w:color w:val="auto"/>
          <w:spacing w:val="-4"/>
          <w:kern w:val="0"/>
          <w:sz w:val="24"/>
        </w:rPr>
        <w:t>用户中心</w:t>
      </w:r>
      <w:r>
        <w:rPr>
          <w:rFonts w:asciiTheme="minorEastAsia" w:eastAsiaTheme="minorEastAsia" w:hAnsiTheme="minorEastAsia" w:cstheme="minorEastAsia" w:hint="eastAsia"/>
          <w:color w:val="auto"/>
          <w:sz w:val="24"/>
        </w:rPr>
        <w:t>—</w:t>
      </w:r>
      <w:r>
        <w:rPr>
          <w:rFonts w:asciiTheme="minorEastAsia" w:eastAsiaTheme="minorEastAsia" w:hAnsiTheme="minorEastAsia" w:cstheme="minorEastAsia" w:hint="eastAsia"/>
          <w:color w:val="auto"/>
          <w:spacing w:val="-4"/>
          <w:kern w:val="0"/>
          <w:sz w:val="24"/>
        </w:rPr>
        <w:t>下载中心</w:t>
      </w:r>
      <w:r>
        <w:rPr>
          <w:rFonts w:asciiTheme="minorEastAsia" w:eastAsiaTheme="minorEastAsia" w:hAnsiTheme="minorEastAsia" w:cstheme="minorEastAsia" w:hint="eastAsia"/>
          <w:color w:val="auto"/>
          <w:sz w:val="24"/>
        </w:rPr>
        <w:t>—下载：</w:t>
      </w:r>
      <w:r>
        <w:rPr>
          <w:rFonts w:asciiTheme="minorEastAsia" w:eastAsiaTheme="minorEastAsia" w:hAnsiTheme="minorEastAsia" w:cstheme="minorEastAsia" w:hint="eastAsia"/>
          <w:bCs/>
          <w:color w:val="auto"/>
          <w:kern w:val="0"/>
          <w:sz w:val="24"/>
        </w:rPr>
        <w:t>中国邮政电子采购与供应平台操作手册-电子采购分册-投标人</w:t>
      </w:r>
      <w:r>
        <w:rPr>
          <w:rFonts w:asciiTheme="minorEastAsia" w:eastAsiaTheme="minorEastAsia" w:hAnsiTheme="minorEastAsia" w:cstheme="minorEastAsia" w:hint="eastAsia"/>
          <w:color w:val="auto"/>
          <w:spacing w:val="-4"/>
          <w:kern w:val="0"/>
          <w:sz w:val="24"/>
        </w:rPr>
        <w:t>”，或可联系客服电话400-709-1099(</w:t>
      </w:r>
      <w:r>
        <w:rPr>
          <w:rFonts w:asciiTheme="minorEastAsia" w:eastAsiaTheme="minorEastAsia" w:hAnsiTheme="minorEastAsia" w:cstheme="minorEastAsia" w:hint="eastAsia"/>
          <w:color w:val="auto"/>
          <w:sz w:val="24"/>
        </w:rPr>
        <w:t>网站注册与操作问题咨询，</w:t>
      </w:r>
      <w:r>
        <w:rPr>
          <w:rFonts w:asciiTheme="minorEastAsia" w:eastAsiaTheme="minorEastAsia" w:hAnsiTheme="minorEastAsia" w:cstheme="minorEastAsia" w:hint="eastAsia"/>
          <w:color w:val="auto"/>
          <w:spacing w:val="-4"/>
          <w:kern w:val="0"/>
          <w:sz w:val="24"/>
        </w:rPr>
        <w:t>周一～周五9:00-17:00）。</w:t>
      </w:r>
    </w:p>
    <w:p w14:paraId="65A441A1">
      <w:pPr>
        <w:widowControl/>
        <w:tabs>
          <w:tab w:val="left" w:pos="0"/>
        </w:tabs>
        <w:autoSpaceDE w:val="0"/>
        <w:autoSpaceDN w:val="0"/>
        <w:spacing w:after="156" w:afterLines="50" w:line="240" w:lineRule="atLeast"/>
        <w:ind w:left="284" w:right="284"/>
        <w:textAlignment w:val="bottom"/>
        <w:rPr>
          <w:rFonts w:ascii="宋体" w:eastAsia="宋体" w:hAnsi="宋体" w:cs="宋体"/>
          <w:b/>
          <w:bCs/>
          <w:sz w:val="24"/>
          <w:highlight w:val="none"/>
        </w:rPr>
      </w:pPr>
      <w:r>
        <w:rPr>
          <w:rFonts w:ascii="宋体" w:eastAsia="宋体" w:hAnsi="宋体" w:cs="宋体" w:hint="eastAsia"/>
          <w:b/>
          <w:bCs/>
          <w:sz w:val="24"/>
          <w:highlight w:val="none"/>
        </w:rPr>
        <w:t>（二）获取招标文件</w:t>
      </w:r>
    </w:p>
    <w:p w14:paraId="41C147EF">
      <w:pPr>
        <w:keepLines w:val="0"/>
        <w:pageBreakBefore w:val="0"/>
        <w:kinsoku/>
        <w:wordWrap/>
        <w:overflowPunct/>
        <w:topLinePunct w:val="0"/>
        <w:bidi w:val="0"/>
        <w:adjustRightInd w:val="0"/>
        <w:snapToGrid w:val="0"/>
        <w:spacing w:line="360" w:lineRule="auto"/>
        <w:ind w:left="0" w:right="0" w:firstLine="480" w:firstLineChars="200"/>
        <w:rPr>
          <w:rFonts w:asciiTheme="minorEastAsia" w:eastAsiaTheme="minorEastAsia" w:hAnsiTheme="minorEastAsia" w:cstheme="minorEastAsia"/>
          <w:bCs/>
          <w:color w:val="auto"/>
          <w:sz w:val="24"/>
        </w:rPr>
      </w:pPr>
      <w:r>
        <w:rPr>
          <w:rFonts w:asciiTheme="minorEastAsia" w:eastAsiaTheme="minorEastAsia" w:hAnsiTheme="minorEastAsia" w:cstheme="minorEastAsia" w:hint="eastAsia"/>
          <w:bCs/>
          <w:color w:val="auto"/>
          <w:sz w:val="24"/>
        </w:rPr>
        <w:t>招标文件售价：人民币150元（招标文件售后不退），</w:t>
      </w:r>
      <w:r>
        <w:rPr>
          <w:rFonts w:asciiTheme="minorEastAsia" w:eastAsiaTheme="minorEastAsia" w:hAnsiTheme="minorEastAsia" w:cstheme="minorEastAsia" w:hint="eastAsia"/>
          <w:b/>
          <w:color w:val="auto"/>
          <w:sz w:val="24"/>
        </w:rPr>
        <w:t>付款时需备注供应商公司名称</w:t>
      </w:r>
      <w:r>
        <w:rPr>
          <w:rFonts w:asciiTheme="minorEastAsia" w:eastAsiaTheme="minorEastAsia" w:hAnsiTheme="minorEastAsia" w:cstheme="minorEastAsia" w:hint="eastAsia"/>
          <w:bCs/>
          <w:color w:val="auto"/>
          <w:sz w:val="24"/>
        </w:rPr>
        <w:t>。供应商自</w:t>
      </w:r>
      <w:r>
        <w:rPr>
          <w:rFonts w:asciiTheme="minorEastAsia" w:eastAsiaTheme="minorEastAsia" w:hAnsiTheme="minorEastAsia" w:cstheme="minorEastAsia" w:hint="eastAsia"/>
          <w:b/>
          <w:color w:val="auto"/>
          <w:sz w:val="24"/>
        </w:rPr>
        <w:t>2025年</w:t>
      </w:r>
      <w:r>
        <w:rPr>
          <w:rFonts w:asciiTheme="minorEastAsia" w:eastAsiaTheme="minorEastAsia" w:hAnsiTheme="minorEastAsia" w:cstheme="minorEastAsia" w:hint="eastAsia"/>
          <w:b/>
          <w:color w:val="auto"/>
          <w:sz w:val="24"/>
          <w:lang w:val="en-US" w:eastAsia="zh-CN"/>
        </w:rPr>
        <w:t>7</w:t>
      </w:r>
      <w:r>
        <w:rPr>
          <w:rFonts w:asciiTheme="minorEastAsia" w:eastAsiaTheme="minorEastAsia" w:hAnsiTheme="minorEastAsia" w:cstheme="minorEastAsia" w:hint="eastAsia"/>
          <w:b/>
          <w:color w:val="auto"/>
          <w:sz w:val="24"/>
          <w:lang w:eastAsia="zh-CN"/>
        </w:rPr>
        <w:t>月</w:t>
      </w:r>
      <w:r>
        <w:rPr>
          <w:rFonts w:asciiTheme="minorEastAsia" w:eastAsiaTheme="minorEastAsia" w:hAnsiTheme="minorEastAsia" w:cstheme="minorEastAsia" w:hint="eastAsia"/>
          <w:b/>
          <w:color w:val="auto"/>
          <w:sz w:val="24"/>
          <w:lang w:val="en-US" w:eastAsia="zh-CN"/>
        </w:rPr>
        <w:t>10</w:t>
      </w:r>
      <w:r>
        <w:rPr>
          <w:rFonts w:asciiTheme="minorEastAsia" w:eastAsiaTheme="minorEastAsia" w:hAnsiTheme="minorEastAsia" w:cstheme="minorEastAsia" w:hint="eastAsia"/>
          <w:b/>
          <w:color w:val="auto"/>
          <w:sz w:val="24"/>
        </w:rPr>
        <w:t>日至2025年</w:t>
      </w:r>
      <w:r>
        <w:rPr>
          <w:rFonts w:asciiTheme="minorEastAsia" w:eastAsiaTheme="minorEastAsia" w:hAnsiTheme="minorEastAsia" w:cstheme="minorEastAsia" w:hint="eastAsia"/>
          <w:b/>
          <w:color w:val="auto"/>
          <w:sz w:val="24"/>
          <w:lang w:val="en-US" w:eastAsia="zh-CN"/>
        </w:rPr>
        <w:t>7</w:t>
      </w:r>
      <w:r>
        <w:rPr>
          <w:rFonts w:asciiTheme="minorEastAsia" w:eastAsiaTheme="minorEastAsia" w:hAnsiTheme="minorEastAsia" w:cstheme="minorEastAsia" w:hint="eastAsia"/>
          <w:b/>
          <w:color w:val="auto"/>
          <w:sz w:val="24"/>
          <w:lang w:eastAsia="zh-CN"/>
        </w:rPr>
        <w:t>月</w:t>
      </w:r>
      <w:r>
        <w:rPr>
          <w:rFonts w:asciiTheme="minorEastAsia" w:eastAsiaTheme="minorEastAsia" w:hAnsiTheme="minorEastAsia" w:cstheme="minorEastAsia" w:hint="eastAsia"/>
          <w:b/>
          <w:color w:val="auto"/>
          <w:sz w:val="24"/>
          <w:lang w:val="en-US" w:eastAsia="zh-CN"/>
        </w:rPr>
        <w:t>16</w:t>
      </w:r>
      <w:r>
        <w:rPr>
          <w:rFonts w:asciiTheme="minorEastAsia" w:eastAsiaTheme="minorEastAsia" w:hAnsiTheme="minorEastAsia" w:cstheme="minorEastAsia" w:hint="eastAsia"/>
          <w:b/>
          <w:color w:val="auto"/>
          <w:sz w:val="24"/>
        </w:rPr>
        <w:t>日09:30-17:00（北京时间）</w:t>
      </w:r>
      <w:r>
        <w:rPr>
          <w:rFonts w:asciiTheme="minorEastAsia" w:eastAsiaTheme="minorEastAsia" w:hAnsiTheme="minorEastAsia" w:cstheme="minorEastAsia" w:hint="eastAsia"/>
          <w:bCs/>
          <w:color w:val="auto"/>
          <w:sz w:val="24"/>
        </w:rPr>
        <w:t>按如下规定获取采购文件：</w:t>
      </w:r>
    </w:p>
    <w:p w14:paraId="54222254">
      <w:pPr>
        <w:keepLines w:val="0"/>
        <w:pageBreakBefore w:val="0"/>
        <w:kinsoku/>
        <w:wordWrap/>
        <w:overflowPunct/>
        <w:topLinePunct w:val="0"/>
        <w:bidi w:val="0"/>
        <w:adjustRightInd w:val="0"/>
        <w:snapToGrid w:val="0"/>
        <w:spacing w:line="360" w:lineRule="auto"/>
        <w:ind w:left="0" w:right="0" w:firstLine="480" w:firstLineChars="200"/>
        <w:rPr>
          <w:rFonts w:asciiTheme="minorEastAsia" w:eastAsiaTheme="minorEastAsia" w:hAnsiTheme="minorEastAsia" w:cstheme="minorEastAsia"/>
          <w:color w:val="auto"/>
          <w:sz w:val="24"/>
        </w:rPr>
      </w:pPr>
      <w:r>
        <w:rPr>
          <w:rFonts w:asciiTheme="minorEastAsia" w:eastAsiaTheme="minorEastAsia" w:hAnsiTheme="minorEastAsia" w:cstheme="minorEastAsia" w:hint="eastAsia"/>
          <w:color w:val="auto"/>
          <w:sz w:val="24"/>
        </w:rPr>
        <w:t>1、第一步，登录中国邮政集团电子采购平台(https ://cg.11185.cn)进行网络报名，并上传报名资料，等待代理机构审核。报名所需资料：单绍信或授权委托书，附经办人身份证明文件复印件（加盖供应商鲜章），供应商为自然人的，只需提供本人身份证复印件。</w:t>
      </w:r>
    </w:p>
    <w:p w14:paraId="2E1EB158">
      <w:pPr>
        <w:keepLines w:val="0"/>
        <w:pageBreakBefore w:val="0"/>
        <w:kinsoku/>
        <w:wordWrap/>
        <w:overflowPunct/>
        <w:topLinePunct w:val="0"/>
        <w:bidi w:val="0"/>
        <w:adjustRightInd w:val="0"/>
        <w:snapToGrid w:val="0"/>
        <w:spacing w:line="360" w:lineRule="auto"/>
        <w:ind w:left="0" w:right="0" w:firstLine="480" w:firstLineChars="200"/>
        <w:rPr>
          <w:rFonts w:asciiTheme="minorEastAsia" w:eastAsiaTheme="minorEastAsia" w:hAnsiTheme="minorEastAsia" w:cstheme="minorEastAsia"/>
          <w:color w:val="auto"/>
          <w:sz w:val="24"/>
        </w:rPr>
      </w:pPr>
      <w:r>
        <w:rPr>
          <w:rFonts w:asciiTheme="minorEastAsia" w:eastAsiaTheme="minorEastAsia" w:hAnsiTheme="minorEastAsia" w:cstheme="minorEastAsia" w:hint="eastAsia"/>
          <w:color w:val="auto"/>
          <w:sz w:val="24"/>
        </w:rPr>
        <w:t>2、第二步，待第一步审核通过后，</w:t>
      </w:r>
      <w:r>
        <w:rPr>
          <w:rFonts w:asciiTheme="minorEastAsia" w:eastAsiaTheme="minorEastAsia" w:hAnsiTheme="minorEastAsia" w:cstheme="minorEastAsia" w:hint="eastAsia"/>
          <w:b/>
          <w:bCs/>
          <w:color w:val="auto"/>
          <w:sz w:val="24"/>
        </w:rPr>
        <w:t>支付报名费</w:t>
      </w:r>
      <w:r>
        <w:rPr>
          <w:rFonts w:asciiTheme="minorEastAsia" w:eastAsiaTheme="minorEastAsia" w:hAnsiTheme="minorEastAsia" w:cstheme="minorEastAsia" w:hint="eastAsia"/>
          <w:color w:val="auto"/>
          <w:sz w:val="24"/>
        </w:rPr>
        <w:t>，</w:t>
      </w:r>
      <w:r>
        <w:rPr>
          <w:rFonts w:asciiTheme="minorEastAsia" w:eastAsiaTheme="minorEastAsia" w:hAnsiTheme="minorEastAsia" w:cstheme="minorEastAsia" w:hint="eastAsia"/>
          <w:b/>
          <w:bCs/>
          <w:color w:val="auto"/>
          <w:sz w:val="24"/>
        </w:rPr>
        <w:t>付款时备注单位名称</w:t>
      </w:r>
      <w:r>
        <w:rPr>
          <w:rFonts w:asciiTheme="minorEastAsia" w:eastAsiaTheme="minorEastAsia" w:hAnsiTheme="minorEastAsia" w:cstheme="minorEastAsia" w:hint="eastAsia"/>
          <w:color w:val="auto"/>
          <w:sz w:val="24"/>
        </w:rPr>
        <w:t>，支付完成后供应商在中国邮政集团电子采购平台上传付费凭证后等待代理机构审核。</w:t>
      </w:r>
    </w:p>
    <w:p w14:paraId="4E322256">
      <w:pPr>
        <w:keepLines w:val="0"/>
        <w:pageBreakBefore w:val="0"/>
        <w:kinsoku/>
        <w:wordWrap/>
        <w:overflowPunct/>
        <w:topLinePunct w:val="0"/>
        <w:bidi w:val="0"/>
        <w:adjustRightInd w:val="0"/>
        <w:snapToGrid w:val="0"/>
        <w:spacing w:line="360" w:lineRule="auto"/>
        <w:ind w:left="0" w:right="0" w:firstLine="480" w:firstLineChars="200"/>
        <w:rPr>
          <w:rFonts w:asciiTheme="minorEastAsia" w:eastAsiaTheme="minorEastAsia" w:hAnsiTheme="minorEastAsia" w:cstheme="minorEastAsia"/>
          <w:color w:val="auto"/>
          <w:sz w:val="24"/>
        </w:rPr>
      </w:pPr>
      <w:r>
        <w:rPr>
          <w:rFonts w:asciiTheme="minorEastAsia" w:eastAsiaTheme="minorEastAsia" w:hAnsiTheme="minorEastAsia" w:cstheme="minorEastAsia" w:hint="eastAsia"/>
          <w:color w:val="auto"/>
          <w:sz w:val="24"/>
        </w:rPr>
        <w:t>注：</w:t>
      </w:r>
      <w:r>
        <w:rPr>
          <w:rFonts w:asciiTheme="minorEastAsia" w:eastAsiaTheme="minorEastAsia" w:hAnsiTheme="minorEastAsia" w:cstheme="minorEastAsia" w:hint="eastAsia"/>
          <w:b/>
          <w:bCs/>
          <w:color w:val="auto"/>
          <w:sz w:val="24"/>
        </w:rPr>
        <w:t>提交审核后供应商无需电话联系，代理机构将在当日固定时间审核。</w:t>
      </w:r>
      <w:r>
        <w:rPr>
          <w:rFonts w:asciiTheme="minorEastAsia" w:eastAsiaTheme="minorEastAsia" w:hAnsiTheme="minorEastAsia" w:cstheme="minorEastAsia" w:hint="eastAsia"/>
          <w:color w:val="auto"/>
          <w:sz w:val="24"/>
        </w:rPr>
        <w:t>代理机构联系电话：028-85353312-608（报名相关事宜咨询,不受理网站注册与操作问题）。</w:t>
      </w:r>
    </w:p>
    <w:p w14:paraId="3F0E8EDF">
      <w:pPr>
        <w:keepLines w:val="0"/>
        <w:pageBreakBefore w:val="0"/>
        <w:widowControl/>
        <w:tabs>
          <w:tab w:val="left" w:pos="540"/>
        </w:tabs>
        <w:kinsoku/>
        <w:wordWrap/>
        <w:overflowPunct/>
        <w:topLinePunct w:val="0"/>
        <w:autoSpaceDE w:val="0"/>
        <w:autoSpaceDN w:val="0"/>
        <w:bidi w:val="0"/>
        <w:spacing w:line="360" w:lineRule="auto"/>
        <w:ind w:left="0" w:right="0" w:firstLine="480" w:firstLineChars="200"/>
        <w:textAlignment w:val="bottom"/>
        <w:rPr>
          <w:rFonts w:ascii="宋体" w:eastAsia="宋体" w:hAnsi="宋体" w:cs="宋体"/>
          <w:b/>
          <w:color w:val="auto"/>
          <w:sz w:val="24"/>
        </w:rPr>
      </w:pPr>
      <w:r>
        <w:rPr>
          <w:rFonts w:asciiTheme="minorEastAsia" w:eastAsiaTheme="minorEastAsia" w:hAnsiTheme="minorEastAsia" w:cstheme="minorEastAsia" w:hint="eastAsia"/>
          <w:color w:val="auto"/>
          <w:sz w:val="24"/>
        </w:rPr>
        <w:t>3、第三步，待第二步审核通过后，供应商在中国邮政集团电子采购平台获取采购文件。获取文件流程：进入平台—注册并办理CA—（审批通过）—选择参加投标的项目—购买招标文件—填写并上传订单信息（支付凭证）—（审批通过）—下载招标文件（具体参照平台页面右下角“供应商操作指南”）。供应商须在“中国邮政电子采购与供应平台”（网址：https://cg.11185.cn）完成“下载招标文件”的操作，否则可能导致后续无法在电子采购平台递交投标文件。</w:t>
      </w:r>
    </w:p>
    <w:p w14:paraId="78A616BC">
      <w:pPr>
        <w:widowControl/>
        <w:numPr>
          <w:ilvl w:val="0"/>
          <w:numId w:val="1"/>
        </w:numPr>
        <w:tabs>
          <w:tab w:val="left" w:pos="540"/>
          <w:tab w:val="clear" w:pos="720"/>
        </w:tabs>
        <w:autoSpaceDE w:val="0"/>
        <w:autoSpaceDN w:val="0"/>
        <w:spacing w:after="156" w:afterLines="50" w:line="240" w:lineRule="atLeast"/>
        <w:ind w:left="540" w:right="-20" w:hanging="540"/>
        <w:textAlignment w:val="bottom"/>
        <w:rPr>
          <w:rFonts w:ascii="宋体" w:eastAsia="宋体" w:hAnsi="宋体" w:cs="宋体"/>
          <w:b/>
          <w:sz w:val="24"/>
          <w:highlight w:val="none"/>
        </w:rPr>
      </w:pPr>
      <w:r>
        <w:rPr>
          <w:rFonts w:ascii="宋体" w:eastAsia="宋体" w:hAnsi="宋体" w:cs="宋体" w:hint="eastAsia"/>
          <w:b/>
          <w:sz w:val="24"/>
          <w:highlight w:val="none"/>
        </w:rPr>
        <w:t>投标文件的递交：</w:t>
      </w:r>
    </w:p>
    <w:p w14:paraId="6ABAD6F6">
      <w:pPr>
        <w:keepLines w:val="0"/>
        <w:pageBreakBefore w:val="0"/>
        <w:widowControl/>
        <w:tabs>
          <w:tab w:val="left" w:pos="7371"/>
        </w:tabs>
        <w:kinsoku/>
        <w:wordWrap/>
        <w:overflowPunct/>
        <w:topLinePunct w:val="0"/>
        <w:autoSpaceDE w:val="0"/>
        <w:autoSpaceDN w:val="0"/>
        <w:bidi w:val="0"/>
        <w:spacing w:line="360" w:lineRule="auto"/>
        <w:ind w:left="0" w:right="0" w:firstLine="480" w:firstLineChars="200"/>
        <w:jc w:val="left"/>
        <w:textAlignment w:val="bottom"/>
        <w:rPr>
          <w:rFonts w:ascii="宋体" w:eastAsia="宋体" w:hAnsi="宋体" w:cs="宋体"/>
          <w:color w:val="auto"/>
          <w:sz w:val="24"/>
        </w:rPr>
      </w:pPr>
      <w:r>
        <w:rPr>
          <w:rFonts w:ascii="宋体" w:eastAsia="宋体" w:hAnsi="宋体" w:cs="宋体" w:hint="eastAsia"/>
          <w:color w:val="auto"/>
          <w:sz w:val="24"/>
        </w:rPr>
        <w:t>（一）递交平台、递交时间及签到：线上电子版与纸质版投标文件递交的截止时间均为2025年</w:t>
      </w:r>
      <w:r>
        <w:rPr>
          <w:rFonts w:ascii="宋体" w:eastAsia="宋体" w:hAnsi="宋体" w:cs="宋体" w:hint="eastAsia"/>
          <w:color w:val="auto"/>
          <w:sz w:val="24"/>
          <w:lang w:val="en-US" w:eastAsia="zh-CN"/>
        </w:rPr>
        <w:t>7</w:t>
      </w:r>
      <w:r>
        <w:rPr>
          <w:rFonts w:ascii="宋体" w:eastAsia="宋体" w:hAnsi="宋体" w:cs="宋体" w:hint="eastAsia"/>
          <w:color w:val="auto"/>
          <w:sz w:val="24"/>
        </w:rPr>
        <w:t>月</w:t>
      </w:r>
      <w:r>
        <w:rPr>
          <w:rFonts w:ascii="宋体" w:eastAsia="宋体" w:hAnsi="宋体" w:cs="宋体" w:hint="eastAsia"/>
          <w:color w:val="auto"/>
          <w:sz w:val="24"/>
          <w:lang w:val="en-US" w:eastAsia="zh-CN"/>
        </w:rPr>
        <w:t>30</w:t>
      </w:r>
      <w:r>
        <w:rPr>
          <w:rFonts w:ascii="宋体" w:eastAsia="宋体" w:hAnsi="宋体" w:cs="宋体" w:hint="eastAsia"/>
          <w:color w:val="auto"/>
          <w:sz w:val="24"/>
        </w:rPr>
        <w:t>日上午</w:t>
      </w:r>
      <w:r>
        <w:rPr>
          <w:rFonts w:ascii="宋体" w:eastAsia="宋体" w:hAnsi="宋体" w:cs="宋体"/>
          <w:color w:val="auto"/>
          <w:sz w:val="24"/>
        </w:rPr>
        <w:t>10</w:t>
      </w:r>
      <w:r>
        <w:rPr>
          <w:rFonts w:ascii="宋体" w:eastAsia="宋体" w:hAnsi="宋体" w:cs="宋体" w:hint="eastAsia"/>
          <w:color w:val="auto"/>
          <w:sz w:val="24"/>
        </w:rPr>
        <w:t>:0</w:t>
      </w:r>
      <w:r>
        <w:rPr>
          <w:rFonts w:ascii="宋体" w:eastAsia="宋体" w:hAnsi="宋体" w:cs="宋体"/>
          <w:color w:val="auto"/>
          <w:sz w:val="24"/>
        </w:rPr>
        <w:t>0</w:t>
      </w:r>
      <w:r>
        <w:rPr>
          <w:rFonts w:ascii="宋体" w:eastAsia="宋体" w:hAnsi="宋体" w:cs="宋体" w:hint="eastAsia"/>
          <w:color w:val="auto"/>
          <w:sz w:val="24"/>
        </w:rPr>
        <w:t>（北京时间），投标人应在截止时间前通过“中国邮政电子采购与供应平台”（网址：https://cg.11185.cn）递交加密的线上电子版投标文件，并在开标（同投标文件递交截止时间）前同时完成线下和线上的投标“签到”流程。投标人自行准备签到与解密所需的CA、电脑、网络环境。</w:t>
      </w:r>
    </w:p>
    <w:p w14:paraId="5CCD8732">
      <w:pPr>
        <w:pStyle w:val="BodyTextFirstIndent2"/>
        <w:keepLines w:val="0"/>
        <w:pageBreakBefore w:val="0"/>
        <w:kinsoku/>
        <w:wordWrap/>
        <w:overflowPunct/>
        <w:topLinePunct w:val="0"/>
        <w:bidi w:val="0"/>
        <w:spacing w:after="0" w:line="360" w:lineRule="auto"/>
        <w:ind w:left="0" w:right="0" w:firstLine="480" w:leftChars="0"/>
        <w:rPr>
          <w:rFonts w:ascii="宋体" w:eastAsia="宋体" w:hAnsi="宋体" w:cs="宋体"/>
          <w:color w:val="auto"/>
          <w:sz w:val="24"/>
        </w:rPr>
      </w:pPr>
      <w:r>
        <w:rPr>
          <w:rFonts w:ascii="宋体" w:eastAsia="宋体" w:hAnsi="宋体" w:cs="宋体" w:hint="eastAsia"/>
          <w:color w:val="auto"/>
          <w:sz w:val="24"/>
        </w:rPr>
        <w:t>（二）递交及解密地点：成都市高新区吉泰五路88号花样年香年广场T3、16楼（四川中志招标代理有限公司）开标室。投标人须派代表当面递交纸质版投标文件，并且通过制作线上电子版投标文件的电脑解密线上电子版投标文件，保证网络畅通、运行环境良好、介质完好等。</w:t>
      </w:r>
    </w:p>
    <w:p w14:paraId="0C17FD7B">
      <w:pPr>
        <w:pStyle w:val="BodyTextFirstIndent2"/>
        <w:keepLines w:val="0"/>
        <w:pageBreakBefore w:val="0"/>
        <w:widowControl/>
        <w:kinsoku/>
        <w:wordWrap/>
        <w:overflowPunct/>
        <w:topLinePunct w:val="0"/>
        <w:bidi w:val="0"/>
        <w:spacing w:after="0" w:line="360" w:lineRule="auto"/>
        <w:ind w:left="0" w:right="0" w:firstLine="480" w:leftChars="0"/>
        <w:rPr>
          <w:rFonts w:ascii="宋体" w:eastAsia="宋体" w:hAnsi="宋体" w:cs="宋体"/>
          <w:color w:val="auto"/>
          <w:sz w:val="24"/>
        </w:rPr>
      </w:pPr>
      <w:r>
        <w:rPr>
          <w:rFonts w:ascii="宋体" w:eastAsia="宋体" w:hAnsi="宋体" w:cs="宋体" w:hint="eastAsia"/>
          <w:color w:val="auto"/>
          <w:sz w:val="24"/>
        </w:rPr>
        <w:t>（三）纸质版投标文件递交时间要求：投标人应在投标文件递交的截止时间前现场递交纸质版投标文件至招标代理机构开标现场。联系人和联系方式见招标代理机构联系方式。逾期递交的纸质版和线上电子版投标文件以及不符合规定的纸质版和线上电子版投标文件将被拒绝。</w:t>
      </w:r>
    </w:p>
    <w:p w14:paraId="54C9A9E7">
      <w:pPr>
        <w:pStyle w:val="BodyTextFirstIndent2"/>
        <w:keepLines w:val="0"/>
        <w:pageBreakBefore w:val="0"/>
        <w:kinsoku/>
        <w:wordWrap/>
        <w:overflowPunct/>
        <w:topLinePunct w:val="0"/>
        <w:bidi w:val="0"/>
        <w:spacing w:after="0" w:line="360" w:lineRule="auto"/>
        <w:ind w:left="0" w:right="0" w:firstLine="480" w:leftChars="0"/>
        <w:rPr>
          <w:rFonts w:ascii="宋体" w:eastAsia="宋体" w:hAnsi="宋体" w:cs="宋体"/>
          <w:color w:val="auto"/>
          <w:sz w:val="24"/>
        </w:rPr>
      </w:pPr>
      <w:r>
        <w:rPr>
          <w:rFonts w:ascii="宋体" w:eastAsia="宋体" w:hAnsi="宋体" w:cs="宋体" w:hint="eastAsia"/>
          <w:color w:val="auto"/>
          <w:sz w:val="24"/>
        </w:rPr>
        <w:t>（四）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2FED8125">
      <w:pPr>
        <w:pStyle w:val="BodyTextFirstIndent2"/>
        <w:keepLines w:val="0"/>
        <w:pageBreakBefore w:val="0"/>
        <w:kinsoku/>
        <w:wordWrap/>
        <w:overflowPunct/>
        <w:topLinePunct w:val="0"/>
        <w:bidi w:val="0"/>
        <w:spacing w:after="0" w:line="360" w:lineRule="auto"/>
        <w:ind w:left="0" w:right="0" w:firstLine="480" w:leftChars="0"/>
        <w:rPr>
          <w:rFonts w:ascii="宋体" w:eastAsia="宋体" w:hAnsi="宋体" w:cs="宋体"/>
          <w:color w:val="auto"/>
          <w:sz w:val="24"/>
        </w:rPr>
      </w:pPr>
      <w:r>
        <w:rPr>
          <w:rFonts w:ascii="宋体" w:eastAsia="宋体" w:hAnsi="宋体" w:cs="宋体" w:hint="eastAsia"/>
          <w:color w:val="auto"/>
          <w:sz w:val="24"/>
        </w:rPr>
        <w:t>（五）电子版投标文件与纸质版投标文件内容和报价必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13641787">
      <w:pPr>
        <w:pStyle w:val="BodyTextFirstIndent2"/>
        <w:keepLines w:val="0"/>
        <w:pageBreakBefore w:val="0"/>
        <w:kinsoku/>
        <w:wordWrap/>
        <w:overflowPunct/>
        <w:topLinePunct w:val="0"/>
        <w:bidi w:val="0"/>
        <w:spacing w:after="0" w:line="360" w:lineRule="auto"/>
        <w:ind w:left="0" w:right="0" w:firstLine="0" w:leftChars="0" w:firstLineChars="0"/>
        <w:rPr>
          <w:rFonts w:ascii="宋体" w:eastAsia="宋体" w:hAnsi="宋体" w:cs="宋体"/>
          <w:b/>
          <w:bCs/>
          <w:color w:val="auto"/>
          <w:kern w:val="0"/>
          <w:sz w:val="24"/>
        </w:rPr>
      </w:pPr>
      <w:r>
        <w:rPr>
          <w:rFonts w:ascii="宋体" w:eastAsia="宋体" w:hAnsi="宋体" w:cs="宋体" w:hint="eastAsia"/>
          <w:b/>
          <w:bCs/>
          <w:color w:val="auto"/>
          <w:kern w:val="0"/>
          <w:sz w:val="24"/>
        </w:rPr>
        <w:t>注：</w:t>
      </w:r>
    </w:p>
    <w:p w14:paraId="738CF37B">
      <w:pPr>
        <w:pStyle w:val="BodyTextFirstIndent2"/>
        <w:keepLines w:val="0"/>
        <w:pageBreakBefore w:val="0"/>
        <w:kinsoku/>
        <w:wordWrap/>
        <w:overflowPunct/>
        <w:topLinePunct w:val="0"/>
        <w:bidi w:val="0"/>
        <w:spacing w:after="0" w:line="360" w:lineRule="auto"/>
        <w:ind w:left="0" w:right="0" w:firstLine="480" w:leftChars="0"/>
        <w:rPr>
          <w:rFonts w:ascii="宋体" w:eastAsia="宋体" w:hAnsi="宋体" w:cs="宋体"/>
          <w:color w:val="auto"/>
          <w:sz w:val="24"/>
        </w:rPr>
      </w:pPr>
      <w:r>
        <w:rPr>
          <w:rFonts w:ascii="宋体" w:eastAsia="宋体" w:hAnsi="宋体" w:cs="宋体" w:hint="eastAsia"/>
          <w:color w:val="auto"/>
          <w:sz w:val="24"/>
        </w:rPr>
        <w:t>1</w:t>
      </w:r>
      <w:r>
        <w:rPr>
          <w:rFonts w:ascii="宋体" w:eastAsia="宋体" w:hAnsi="宋体" w:cs="宋体"/>
          <w:color w:val="auto"/>
          <w:sz w:val="24"/>
        </w:rPr>
        <w:t>.</w:t>
      </w:r>
      <w:r>
        <w:rPr>
          <w:rFonts w:ascii="宋体" w:eastAsia="宋体" w:hAnsi="宋体" w:cs="宋体" w:hint="eastAsia"/>
          <w:color w:val="auto"/>
          <w:sz w:val="24"/>
        </w:rPr>
        <w:t>线上电子版投标文件指：按招标文件要求通过《中国邮政投标管家》工具编制、加密、上传至“中国邮政电子采购与供应平台”（网址：https://cg.11185.cn）的电子版投标文件。</w:t>
      </w:r>
    </w:p>
    <w:p w14:paraId="5FA97DFD">
      <w:pPr>
        <w:pStyle w:val="BodyTextFirstIndent2"/>
        <w:keepLines w:val="0"/>
        <w:pageBreakBefore w:val="0"/>
        <w:kinsoku/>
        <w:wordWrap/>
        <w:overflowPunct/>
        <w:topLinePunct w:val="0"/>
        <w:bidi w:val="0"/>
        <w:spacing w:after="0" w:line="360" w:lineRule="auto"/>
        <w:ind w:left="0" w:right="0" w:firstLine="480" w:leftChars="0"/>
        <w:rPr>
          <w:rFonts w:ascii="宋体" w:eastAsia="宋体" w:hAnsi="宋体" w:cs="宋体"/>
          <w:color w:val="auto"/>
          <w:sz w:val="24"/>
        </w:rPr>
      </w:pPr>
      <w:r>
        <w:rPr>
          <w:rFonts w:ascii="宋体" w:eastAsia="宋体" w:hAnsi="宋体" w:cs="宋体" w:hint="eastAsia"/>
          <w:color w:val="auto"/>
          <w:sz w:val="24"/>
        </w:rPr>
        <w:t>2</w:t>
      </w:r>
      <w:r>
        <w:rPr>
          <w:rFonts w:ascii="宋体" w:eastAsia="宋体" w:hAnsi="宋体" w:cs="宋体"/>
          <w:color w:val="auto"/>
          <w:sz w:val="24"/>
        </w:rPr>
        <w:t>.</w:t>
      </w:r>
      <w:r>
        <w:rPr>
          <w:rFonts w:ascii="宋体" w:eastAsia="宋体" w:hAnsi="宋体" w:cs="宋体" w:hint="eastAsia"/>
          <w:color w:val="auto"/>
          <w:sz w:val="24"/>
        </w:rPr>
        <w:t>纸质版投标文件指：纸质版投标文件应为线上电子版投标文件的打印版或加盖公章、签字的纸质版。</w:t>
      </w:r>
    </w:p>
    <w:p w14:paraId="2B7D6F32">
      <w:pPr>
        <w:pStyle w:val="BodyTextFirstIndent2"/>
        <w:keepLines w:val="0"/>
        <w:pageBreakBefore w:val="0"/>
        <w:kinsoku/>
        <w:wordWrap/>
        <w:overflowPunct/>
        <w:topLinePunct w:val="0"/>
        <w:bidi w:val="0"/>
        <w:spacing w:after="0" w:line="360" w:lineRule="auto"/>
        <w:ind w:left="0" w:right="0" w:firstLine="480" w:leftChars="0"/>
        <w:rPr>
          <w:rFonts w:ascii="宋体" w:eastAsia="宋体" w:hAnsi="宋体" w:cs="宋体"/>
          <w:color w:val="auto"/>
          <w:sz w:val="24"/>
        </w:rPr>
      </w:pPr>
      <w:r>
        <w:rPr>
          <w:rFonts w:ascii="宋体" w:eastAsia="宋体" w:hAnsi="宋体" w:cs="宋体" w:hint="eastAsia"/>
          <w:color w:val="auto"/>
          <w:sz w:val="24"/>
        </w:rPr>
        <w:t>3</w:t>
      </w:r>
      <w:r>
        <w:rPr>
          <w:rFonts w:ascii="宋体" w:eastAsia="宋体" w:hAnsi="宋体" w:cs="宋体"/>
          <w:color w:val="auto"/>
          <w:sz w:val="24"/>
        </w:rPr>
        <w:t>.</w:t>
      </w:r>
      <w:r>
        <w:rPr>
          <w:rFonts w:ascii="宋体" w:eastAsia="宋体" w:hAnsi="宋体" w:cs="宋体" w:hint="eastAsia"/>
          <w:color w:val="auto"/>
          <w:sz w:val="24"/>
        </w:rPr>
        <w:t>投标人须派代表当面递交纸质版投标文件。招标人不接受以邮寄、传真、电子邮件等方式递交的投标文件。逾期或不符合规定的投标文件不予接受。</w:t>
      </w:r>
    </w:p>
    <w:p w14:paraId="60BAD0F8">
      <w:pPr>
        <w:pStyle w:val="BodyTextFirstIndent2"/>
        <w:keepLines w:val="0"/>
        <w:pageBreakBefore w:val="0"/>
        <w:kinsoku/>
        <w:wordWrap/>
        <w:overflowPunct/>
        <w:topLinePunct w:val="0"/>
        <w:bidi w:val="0"/>
        <w:spacing w:after="0" w:line="360" w:lineRule="auto"/>
        <w:ind w:left="0" w:right="0" w:firstLine="480" w:leftChars="0"/>
        <w:rPr>
          <w:rFonts w:ascii="宋体" w:eastAsia="宋体" w:hAnsi="宋体" w:cs="宋体"/>
          <w:color w:val="auto"/>
          <w:sz w:val="24"/>
        </w:rPr>
      </w:pPr>
      <w:r>
        <w:rPr>
          <w:rFonts w:ascii="宋体" w:eastAsia="宋体" w:hAnsi="宋体" w:cs="宋体" w:hint="eastAsia"/>
          <w:color w:val="auto"/>
          <w:sz w:val="24"/>
        </w:rPr>
        <w:t>4</w:t>
      </w:r>
      <w:r>
        <w:rPr>
          <w:rFonts w:ascii="宋体" w:eastAsia="宋体" w:hAnsi="宋体" w:cs="宋体"/>
          <w:color w:val="auto"/>
          <w:sz w:val="24"/>
        </w:rPr>
        <w:t>.</w:t>
      </w:r>
      <w:r>
        <w:rPr>
          <w:rFonts w:ascii="宋体" w:eastAsia="宋体" w:hAnsi="宋体" w:cs="宋体" w:hint="eastAsia"/>
          <w:color w:val="auto"/>
          <w:sz w:val="24"/>
        </w:rPr>
        <w:t>纸质版投标文件应与线上电子版投标文件保持一致，如不一致视为无效投标。</w:t>
      </w:r>
    </w:p>
    <w:p w14:paraId="0749CB4D">
      <w:pPr>
        <w:pStyle w:val="BodyTextFirstIndent2"/>
        <w:keepLines w:val="0"/>
        <w:pageBreakBefore w:val="0"/>
        <w:kinsoku/>
        <w:wordWrap/>
        <w:overflowPunct/>
        <w:topLinePunct w:val="0"/>
        <w:bidi w:val="0"/>
        <w:spacing w:after="0" w:line="360" w:lineRule="auto"/>
        <w:ind w:left="0" w:right="0" w:firstLine="480" w:leftChars="0"/>
        <w:rPr>
          <w:rFonts w:ascii="宋体" w:eastAsia="宋体" w:hAnsi="宋体" w:cs="宋体"/>
          <w:color w:val="auto"/>
          <w:sz w:val="24"/>
        </w:rPr>
      </w:pPr>
      <w:r>
        <w:rPr>
          <w:rFonts w:ascii="宋体" w:eastAsia="宋体" w:hAnsi="宋体" w:cs="宋体" w:hint="eastAsia"/>
          <w:color w:val="auto"/>
          <w:sz w:val="24"/>
        </w:rPr>
        <w:t>5</w:t>
      </w:r>
      <w:r>
        <w:rPr>
          <w:rFonts w:ascii="宋体" w:eastAsia="宋体" w:hAnsi="宋体" w:cs="宋体"/>
          <w:color w:val="auto"/>
          <w:sz w:val="24"/>
        </w:rPr>
        <w:t>.</w:t>
      </w:r>
      <w:r>
        <w:rPr>
          <w:rFonts w:ascii="宋体" w:eastAsia="宋体" w:hAnsi="宋体" w:cs="宋体" w:hint="eastAsia"/>
          <w:color w:val="auto"/>
          <w:sz w:val="24"/>
        </w:rPr>
        <w:t>投标文件须以线上、线下两种方式均按时递交完成方可生效，仅在线上或者线下单边递交投标文件视为无效投标。</w:t>
      </w:r>
    </w:p>
    <w:p w14:paraId="1797BD61">
      <w:pPr>
        <w:widowControl/>
        <w:numPr>
          <w:ilvl w:val="0"/>
          <w:numId w:val="1"/>
        </w:numPr>
        <w:tabs>
          <w:tab w:val="left" w:pos="540"/>
          <w:tab w:val="clear" w:pos="720"/>
        </w:tabs>
        <w:autoSpaceDE w:val="0"/>
        <w:autoSpaceDN w:val="0"/>
        <w:spacing w:after="156" w:afterLines="50" w:line="240" w:lineRule="atLeast"/>
        <w:ind w:left="540" w:right="-20" w:hanging="540"/>
        <w:textAlignment w:val="bottom"/>
        <w:rPr>
          <w:rFonts w:ascii="宋体" w:eastAsia="宋体" w:hAnsi="宋体" w:cs="宋体"/>
          <w:b/>
          <w:sz w:val="24"/>
          <w:highlight w:val="none"/>
        </w:rPr>
      </w:pPr>
      <w:r>
        <w:rPr>
          <w:rFonts w:ascii="宋体" w:eastAsia="宋体" w:hAnsi="宋体" w:cs="宋体" w:hint="eastAsia"/>
          <w:b/>
          <w:sz w:val="24"/>
          <w:highlight w:val="none"/>
        </w:rPr>
        <w:t>开标：</w:t>
      </w:r>
    </w:p>
    <w:p w14:paraId="227B31C0">
      <w:pPr>
        <w:keepLines w:val="0"/>
        <w:pageBreakBefore w:val="0"/>
        <w:widowControl/>
        <w:kinsoku/>
        <w:wordWrap/>
        <w:overflowPunct/>
        <w:topLinePunct w:val="0"/>
        <w:autoSpaceDE w:val="0"/>
        <w:autoSpaceDN w:val="0"/>
        <w:bidi w:val="0"/>
        <w:spacing w:line="360" w:lineRule="auto"/>
        <w:ind w:left="0" w:right="0" w:firstLine="480" w:firstLineChars="200"/>
        <w:textAlignment w:val="bottom"/>
        <w:rPr>
          <w:rFonts w:ascii="宋体" w:eastAsia="宋体" w:hAnsi="宋体" w:cs="宋体"/>
          <w:color w:val="auto"/>
          <w:sz w:val="24"/>
        </w:rPr>
      </w:pPr>
      <w:r>
        <w:rPr>
          <w:rFonts w:ascii="宋体" w:eastAsia="宋体" w:hAnsi="宋体" w:cs="宋体" w:hint="eastAsia"/>
          <w:color w:val="auto"/>
          <w:sz w:val="24"/>
        </w:rPr>
        <w:t>（一）开标形式：本项目采用在“中国邮政电子采购与供应平台”（网址：https://cg.11185.cn）线上解密开标，递交投标文件的设备需为投标人自主可控的电脑终端设备，不得与其他投标人使用同一台电脑递交投标文件。</w:t>
      </w:r>
    </w:p>
    <w:p w14:paraId="3D18C494">
      <w:pPr>
        <w:keepLines w:val="0"/>
        <w:pageBreakBefore w:val="0"/>
        <w:widowControl/>
        <w:kinsoku/>
        <w:wordWrap/>
        <w:overflowPunct/>
        <w:topLinePunct w:val="0"/>
        <w:autoSpaceDE w:val="0"/>
        <w:autoSpaceDN w:val="0"/>
        <w:bidi w:val="0"/>
        <w:spacing w:line="360" w:lineRule="auto"/>
        <w:ind w:left="0" w:right="0" w:firstLine="480" w:firstLineChars="200"/>
        <w:textAlignment w:val="bottom"/>
        <w:rPr>
          <w:rFonts w:ascii="宋体" w:eastAsia="宋体" w:hAnsi="宋体" w:cs="宋体"/>
          <w:color w:val="auto"/>
          <w:sz w:val="24"/>
        </w:rPr>
      </w:pPr>
      <w:r>
        <w:rPr>
          <w:rFonts w:ascii="宋体" w:eastAsia="宋体" w:hAnsi="宋体" w:cs="宋体" w:hint="eastAsia"/>
          <w:color w:val="auto"/>
          <w:sz w:val="24"/>
        </w:rPr>
        <w:t>（二）开标时间：</w:t>
      </w:r>
      <w:r>
        <w:rPr>
          <w:rFonts w:ascii="宋体" w:eastAsia="宋体" w:hAnsi="宋体" w:cs="宋体" w:hint="eastAsia"/>
          <w:b/>
          <w:bCs/>
          <w:color w:val="auto"/>
          <w:sz w:val="24"/>
        </w:rPr>
        <w:t>2025年</w:t>
      </w:r>
      <w:r>
        <w:rPr>
          <w:rFonts w:ascii="宋体" w:eastAsia="宋体" w:hAnsi="宋体" w:cs="宋体" w:hint="eastAsia"/>
          <w:b/>
          <w:bCs/>
          <w:color w:val="auto"/>
          <w:sz w:val="24"/>
          <w:lang w:val="en-US" w:eastAsia="zh-CN"/>
        </w:rPr>
        <w:t>7</w:t>
      </w:r>
      <w:r>
        <w:rPr>
          <w:rFonts w:ascii="宋体" w:eastAsia="宋体" w:hAnsi="宋体" w:cs="宋体" w:hint="eastAsia"/>
          <w:b/>
          <w:bCs/>
          <w:color w:val="auto"/>
          <w:sz w:val="24"/>
        </w:rPr>
        <w:t>月</w:t>
      </w:r>
      <w:r>
        <w:rPr>
          <w:rFonts w:ascii="宋体" w:eastAsia="宋体" w:hAnsi="宋体" w:cs="宋体" w:hint="eastAsia"/>
          <w:b/>
          <w:bCs/>
          <w:color w:val="auto"/>
          <w:sz w:val="24"/>
          <w:lang w:val="en-US" w:eastAsia="zh-CN"/>
        </w:rPr>
        <w:t>30</w:t>
      </w:r>
      <w:r>
        <w:rPr>
          <w:rFonts w:ascii="宋体" w:eastAsia="宋体" w:hAnsi="宋体" w:cs="宋体" w:hint="eastAsia"/>
          <w:b/>
          <w:bCs/>
          <w:color w:val="auto"/>
          <w:sz w:val="24"/>
        </w:rPr>
        <w:t>日10:00</w:t>
      </w:r>
      <w:r>
        <w:rPr>
          <w:rFonts w:ascii="宋体" w:eastAsia="宋体" w:hAnsi="宋体" w:cs="宋体" w:hint="eastAsia"/>
          <w:color w:val="auto"/>
          <w:sz w:val="24"/>
        </w:rPr>
        <w:t>（北京时间）。线上电子版投标文件现场解密截止时间为开标现场通知解密开始后</w:t>
      </w:r>
      <w:r>
        <w:rPr>
          <w:rFonts w:ascii="宋体" w:eastAsia="宋体" w:hAnsi="宋体" w:cs="宋体"/>
          <w:color w:val="auto"/>
          <w:sz w:val="24"/>
        </w:rPr>
        <w:t>30</w:t>
      </w:r>
      <w:r>
        <w:rPr>
          <w:rFonts w:ascii="宋体" w:eastAsia="宋体" w:hAnsi="宋体" w:cs="宋体" w:hint="eastAsia"/>
          <w:color w:val="auto"/>
          <w:sz w:val="24"/>
        </w:rPr>
        <w:t>分钟以内。投标人须</w:t>
      </w:r>
      <w:r>
        <w:rPr>
          <w:rFonts w:ascii="宋体" w:eastAsia="宋体" w:hAnsi="宋体" w:hint="eastAsia"/>
          <w:color w:val="auto"/>
          <w:sz w:val="24"/>
        </w:rPr>
        <w:t>自行</w:t>
      </w:r>
      <w:r>
        <w:rPr>
          <w:rFonts w:ascii="宋体" w:eastAsia="宋体" w:hAnsi="宋体" w:cs="宋体" w:hint="eastAsia"/>
          <w:color w:val="auto"/>
          <w:sz w:val="24"/>
        </w:rPr>
        <w:t>承担所使用互联网网络及运行环境不畅、介质损坏、电脑故障等因素造成的风险。</w:t>
      </w:r>
    </w:p>
    <w:p w14:paraId="304C2B06">
      <w:pPr>
        <w:keepLines w:val="0"/>
        <w:pageBreakBefore w:val="0"/>
        <w:widowControl/>
        <w:kinsoku/>
        <w:wordWrap/>
        <w:overflowPunct/>
        <w:topLinePunct w:val="0"/>
        <w:autoSpaceDE w:val="0"/>
        <w:autoSpaceDN w:val="0"/>
        <w:bidi w:val="0"/>
        <w:spacing w:line="360" w:lineRule="auto"/>
        <w:ind w:left="0" w:right="0" w:firstLine="480" w:firstLineChars="200"/>
        <w:textAlignment w:val="bottom"/>
        <w:rPr>
          <w:rFonts w:ascii="宋体" w:eastAsia="宋体" w:hAnsi="宋体" w:cs="宋体"/>
          <w:b/>
          <w:bCs/>
          <w:color w:val="auto"/>
          <w:sz w:val="24"/>
        </w:rPr>
      </w:pPr>
      <w:r>
        <w:rPr>
          <w:rFonts w:ascii="宋体" w:eastAsia="宋体" w:hAnsi="宋体" w:cs="宋体" w:hint="eastAsia"/>
          <w:color w:val="auto"/>
          <w:sz w:val="24"/>
        </w:rPr>
        <w:t>（三）投标文件递交及开标地点：</w:t>
      </w:r>
      <w:r>
        <w:rPr>
          <w:rFonts w:ascii="宋体" w:eastAsia="宋体" w:hAnsi="宋体" w:cs="宋体" w:hint="eastAsia"/>
          <w:b/>
          <w:bCs/>
          <w:color w:val="auto"/>
          <w:sz w:val="24"/>
        </w:rPr>
        <w:t>成都市高新区吉泰五路88号花样年香年广场T3、16楼（四川中志招标代理有限公司）开标室。</w:t>
      </w:r>
    </w:p>
    <w:p w14:paraId="62ECEB52">
      <w:pPr>
        <w:widowControl/>
        <w:autoSpaceDE w:val="0"/>
        <w:autoSpaceDN w:val="0"/>
        <w:spacing w:after="156" w:afterLines="50" w:line="240" w:lineRule="atLeast"/>
        <w:ind w:left="284" w:right="284" w:firstLine="480" w:firstLineChars="200"/>
        <w:textAlignment w:val="bottom"/>
        <w:rPr>
          <w:rFonts w:ascii="宋体" w:eastAsia="宋体" w:hAnsi="宋体" w:cs="宋体"/>
          <w:sz w:val="24"/>
          <w:highlight w:val="none"/>
        </w:rPr>
      </w:pPr>
      <w:r>
        <w:rPr>
          <w:rFonts w:ascii="宋体" w:eastAsia="宋体" w:hAnsi="宋体" w:cs="宋体" w:hint="eastAsia"/>
          <w:color w:val="auto"/>
          <w:sz w:val="24"/>
        </w:rPr>
        <w:t>（四）投标人须派代表当面递交纸质版投标文件，并且按规定时间解密线上电子版投标文件。逾期递交的纸质版和线上电子版投标文件，以及不符合规定的纸质版和线上电子版投标文件将被拒绝</w:t>
      </w:r>
      <w:r>
        <w:rPr>
          <w:rFonts w:ascii="宋体" w:eastAsia="宋体" w:hAnsi="宋体" w:cs="宋体" w:hint="eastAsia"/>
          <w:b w:val="0"/>
          <w:bCs w:val="0"/>
          <w:sz w:val="24"/>
          <w:highlight w:val="none"/>
        </w:rPr>
        <w:t>。</w:t>
      </w:r>
    </w:p>
    <w:p w14:paraId="16AA3D7F">
      <w:pPr>
        <w:keepNext/>
        <w:widowControl/>
        <w:numPr>
          <w:ilvl w:val="0"/>
          <w:numId w:val="1"/>
        </w:numPr>
        <w:tabs>
          <w:tab w:val="left" w:pos="540"/>
          <w:tab w:val="clear" w:pos="720"/>
        </w:tabs>
        <w:autoSpaceDE w:val="0"/>
        <w:autoSpaceDN w:val="0"/>
        <w:spacing w:before="50" w:after="156" w:afterLines="50" w:line="240" w:lineRule="atLeast"/>
        <w:ind w:left="539" w:right="249" w:hanging="539"/>
        <w:textAlignment w:val="bottom"/>
        <w:rPr>
          <w:rFonts w:ascii="宋体" w:eastAsia="宋体" w:hAnsi="宋体" w:cs="宋体"/>
          <w:b/>
          <w:sz w:val="24"/>
          <w:highlight w:val="none"/>
        </w:rPr>
      </w:pPr>
      <w:r>
        <w:rPr>
          <w:rFonts w:ascii="宋体" w:eastAsia="宋体" w:hAnsi="宋体" w:cs="宋体" w:hint="eastAsia"/>
          <w:b/>
          <w:sz w:val="24"/>
          <w:highlight w:val="none"/>
        </w:rPr>
        <w:t xml:space="preserve">发布公告的媒体： </w:t>
      </w:r>
    </w:p>
    <w:p w14:paraId="5B63044F">
      <w:pPr>
        <w:widowControl/>
        <w:tabs>
          <w:tab w:val="left" w:pos="540"/>
        </w:tabs>
        <w:autoSpaceDE w:val="0"/>
        <w:autoSpaceDN w:val="0"/>
        <w:spacing w:after="156" w:afterLines="50" w:line="240" w:lineRule="atLeast"/>
        <w:ind w:right="-20" w:firstLine="480" w:firstLineChars="200"/>
        <w:textAlignment w:val="bottom"/>
        <w:rPr>
          <w:rFonts w:ascii="宋体" w:eastAsia="宋体" w:hAnsi="宋体" w:cs="宋体"/>
          <w:sz w:val="24"/>
          <w:highlight w:val="none"/>
        </w:rPr>
      </w:pPr>
      <w:r>
        <w:rPr>
          <w:rFonts w:ascii="宋体" w:eastAsia="宋体" w:hAnsi="宋体" w:cs="宋体" w:hint="eastAsia"/>
          <w:sz w:val="24"/>
          <w:highlight w:val="none"/>
        </w:rPr>
        <w:t>项目招标公告、公示信息将在中国邮政集团有限公司官网(www.chinapost.com.cn)、中国招标投标公共服务平台（www.cebpubservice.com）、中国采购与招标网(www.chinabidding.com.cn)、中国邮政电子采购与供应平台（cg.11185.cn）</w:t>
      </w:r>
      <w:r>
        <w:rPr>
          <w:rFonts w:ascii="宋体" w:eastAsia="宋体" w:hAnsi="宋体" w:cs="宋体" w:hint="eastAsia"/>
          <w:sz w:val="24"/>
          <w:highlight w:val="none"/>
          <w:lang w:val="en-US" w:eastAsia="zh-CN"/>
        </w:rPr>
        <w:t>4</w:t>
      </w:r>
      <w:r>
        <w:rPr>
          <w:rFonts w:ascii="宋体" w:eastAsia="宋体" w:hAnsi="宋体" w:cs="宋体" w:hint="eastAsia"/>
          <w:sz w:val="24"/>
          <w:highlight w:val="none"/>
        </w:rPr>
        <w:t>个网站发布。</w:t>
      </w:r>
    </w:p>
    <w:p w14:paraId="62AAF7FB">
      <w:pPr>
        <w:widowControl/>
        <w:numPr>
          <w:ilvl w:val="0"/>
          <w:numId w:val="1"/>
        </w:numPr>
        <w:tabs>
          <w:tab w:val="left" w:pos="540"/>
          <w:tab w:val="clear" w:pos="720"/>
        </w:tabs>
        <w:autoSpaceDE w:val="0"/>
        <w:autoSpaceDN w:val="0"/>
        <w:spacing w:after="156" w:afterLines="50" w:line="240" w:lineRule="atLeast"/>
        <w:ind w:left="540" w:right="248" w:hanging="540"/>
        <w:textAlignment w:val="bottom"/>
        <w:rPr>
          <w:rFonts w:ascii="宋体" w:eastAsia="宋体" w:hAnsi="宋体" w:cs="宋体"/>
          <w:b/>
          <w:sz w:val="24"/>
          <w:highlight w:val="none"/>
        </w:rPr>
      </w:pPr>
      <w:r>
        <w:rPr>
          <w:rFonts w:ascii="宋体" w:eastAsia="宋体" w:hAnsi="宋体" w:cs="宋体" w:hint="eastAsia"/>
          <w:b/>
          <w:sz w:val="24"/>
          <w:highlight w:val="none"/>
        </w:rPr>
        <w:t>合同主体说明</w:t>
      </w:r>
    </w:p>
    <w:p w14:paraId="1FFCF6AF">
      <w:pPr>
        <w:widowControl/>
        <w:tabs>
          <w:tab w:val="left" w:pos="540"/>
        </w:tabs>
        <w:autoSpaceDE w:val="0"/>
        <w:autoSpaceDN w:val="0"/>
        <w:spacing w:after="156" w:afterLines="50" w:line="240" w:lineRule="atLeast"/>
        <w:ind w:right="248" w:firstLine="480" w:firstLineChars="200"/>
        <w:textAlignment w:val="bottom"/>
        <w:rPr>
          <w:rFonts w:ascii="宋体" w:eastAsia="宋体" w:hAnsi="宋体" w:cs="宋体"/>
          <w:b w:val="0"/>
          <w:bCs/>
          <w:sz w:val="24"/>
          <w:highlight w:val="none"/>
        </w:rPr>
      </w:pPr>
      <w:r>
        <w:rPr>
          <w:rFonts w:ascii="宋体" w:eastAsia="宋体" w:hAnsi="宋体" w:cs="宋体" w:hint="eastAsia"/>
          <w:b w:val="0"/>
          <w:bCs/>
          <w:sz w:val="24"/>
          <w:highlight w:val="none"/>
        </w:rPr>
        <w:t>项目招标人为中国邮政集团有限公司四川省分公司，中标单位确定后由中国邮政集团有限公司</w:t>
      </w:r>
      <w:r>
        <w:rPr>
          <w:rFonts w:ascii="宋体" w:eastAsia="宋体" w:hAnsi="宋体" w:cs="宋体" w:hint="eastAsia"/>
          <w:b w:val="0"/>
          <w:bCs/>
          <w:sz w:val="24"/>
          <w:highlight w:val="none"/>
          <w:lang w:val="en-US" w:eastAsia="zh-CN"/>
        </w:rPr>
        <w:t>雅安</w:t>
      </w:r>
      <w:r>
        <w:rPr>
          <w:rFonts w:ascii="宋体" w:eastAsia="宋体" w:hAnsi="宋体" w:cs="宋体" w:hint="eastAsia"/>
          <w:b w:val="0"/>
          <w:bCs/>
          <w:sz w:val="24"/>
          <w:highlight w:val="none"/>
          <w:lang w:eastAsia="zh-CN"/>
        </w:rPr>
        <w:t>市分公司</w:t>
      </w:r>
      <w:r>
        <w:rPr>
          <w:rFonts w:ascii="宋体" w:eastAsia="宋体" w:hAnsi="宋体" w:cs="宋体" w:hint="eastAsia"/>
          <w:b w:val="0"/>
          <w:bCs/>
          <w:sz w:val="24"/>
          <w:highlight w:val="none"/>
          <w:lang w:val="en-US" w:eastAsia="zh-CN"/>
        </w:rPr>
        <w:t>作为签约主体</w:t>
      </w:r>
      <w:r>
        <w:rPr>
          <w:rFonts w:ascii="宋体" w:eastAsia="宋体" w:hAnsi="宋体" w:cs="宋体" w:hint="eastAsia"/>
          <w:b w:val="0"/>
          <w:bCs/>
          <w:sz w:val="24"/>
          <w:highlight w:val="none"/>
        </w:rPr>
        <w:t>与中标供应商签订合同。</w:t>
      </w:r>
    </w:p>
    <w:p w14:paraId="0F8CD9D5">
      <w:pPr>
        <w:keepNext/>
        <w:widowControl/>
        <w:numPr>
          <w:ilvl w:val="0"/>
          <w:numId w:val="1"/>
        </w:numPr>
        <w:tabs>
          <w:tab w:val="left" w:pos="540"/>
          <w:tab w:val="clear" w:pos="720"/>
        </w:tabs>
        <w:autoSpaceDE w:val="0"/>
        <w:autoSpaceDN w:val="0"/>
        <w:spacing w:after="156" w:afterLines="50" w:line="240" w:lineRule="atLeast"/>
        <w:ind w:left="539" w:right="249" w:hanging="539"/>
        <w:textAlignment w:val="bottom"/>
        <w:rPr>
          <w:rFonts w:ascii="宋体" w:eastAsia="宋体" w:hAnsi="宋体" w:cs="宋体"/>
          <w:b/>
          <w:sz w:val="24"/>
          <w:highlight w:val="none"/>
        </w:rPr>
      </w:pPr>
      <w:r>
        <w:rPr>
          <w:rFonts w:ascii="宋体" w:eastAsia="宋体" w:hAnsi="宋体" w:cs="宋体" w:hint="eastAsia"/>
          <w:b/>
          <w:sz w:val="24"/>
          <w:highlight w:val="none"/>
        </w:rPr>
        <w:t>联系方式：</w:t>
      </w:r>
    </w:p>
    <w:p w14:paraId="045855FB">
      <w:pPr>
        <w:keepLines w:val="0"/>
        <w:pageBreakBefore w:val="0"/>
        <w:numPr>
          <w:ilvl w:val="0"/>
          <w:numId w:val="0"/>
        </w:numPr>
        <w:kinsoku/>
        <w:wordWrap/>
        <w:overflowPunct/>
        <w:topLinePunct w:val="0"/>
        <w:autoSpaceDE w:val="0"/>
        <w:bidi w:val="0"/>
        <w:spacing w:line="360" w:lineRule="auto"/>
        <w:ind w:left="0" w:right="0" w:firstLine="480" w:leftChars="0" w:rightChars="0" w:firstLineChars="200"/>
        <w:rPr>
          <w:rFonts w:asciiTheme="minorEastAsia" w:eastAsiaTheme="minorEastAsia" w:hAnsiTheme="minorEastAsia" w:cstheme="minorEastAsia" w:hint="eastAsia"/>
          <w:b/>
          <w:bCs/>
          <w:color w:val="auto"/>
          <w:sz w:val="24"/>
        </w:rPr>
      </w:pPr>
      <w:r>
        <w:rPr>
          <w:rFonts w:asciiTheme="minorEastAsia" w:eastAsiaTheme="minorEastAsia" w:hAnsiTheme="minorEastAsia" w:cstheme="minorEastAsia" w:hint="eastAsia"/>
          <w:b/>
          <w:bCs/>
          <w:color w:val="auto"/>
          <w:kern w:val="2"/>
          <w:sz w:val="24"/>
          <w:szCs w:val="24"/>
          <w:lang w:val="en-US" w:eastAsia="zh-CN" w:bidi="ar-SA"/>
        </w:rPr>
        <w:t>1.</w:t>
      </w:r>
      <w:r>
        <w:rPr>
          <w:rFonts w:asciiTheme="minorEastAsia" w:eastAsiaTheme="minorEastAsia" w:hAnsiTheme="minorEastAsia" w:cstheme="minorEastAsia" w:hint="eastAsia"/>
          <w:b/>
          <w:bCs/>
          <w:color w:val="auto"/>
          <w:sz w:val="24"/>
        </w:rPr>
        <w:t>招标代理：四川中志招标代理有限公司</w:t>
      </w:r>
    </w:p>
    <w:p w14:paraId="7549D175">
      <w:pPr>
        <w:keepNext w:val="0"/>
        <w:keepLines w:val="0"/>
        <w:pageBreakBefore w:val="0"/>
        <w:widowControl w:val="0"/>
        <w:kinsoku/>
        <w:wordWrap/>
        <w:overflowPunct/>
        <w:topLinePunct w:val="0"/>
        <w:autoSpaceDE/>
        <w:autoSpaceDN/>
        <w:bidi w:val="0"/>
        <w:adjustRightInd/>
        <w:snapToGrid/>
        <w:spacing w:line="360" w:lineRule="auto"/>
        <w:ind w:left="0" w:right="0" w:firstLine="480"/>
        <w:jc w:val="left"/>
        <w:textAlignment w:val="auto"/>
        <w:rPr>
          <w:rFonts w:ascii="宋体" w:eastAsia="宋体" w:hAnsi="宋体" w:cs="宋体" w:hint="eastAsia"/>
          <w:color w:val="auto"/>
          <w:kern w:val="0"/>
          <w:sz w:val="24"/>
          <w:szCs w:val="24"/>
          <w:lang w:val="en-US" w:eastAsia="zh-CN" w:bidi="ar-SA"/>
        </w:rPr>
      </w:pPr>
      <w:r>
        <w:rPr>
          <w:rFonts w:ascii="宋体" w:eastAsia="宋体" w:hAnsi="宋体" w:cs="宋体" w:hint="eastAsia"/>
          <w:color w:val="auto"/>
          <w:kern w:val="0"/>
          <w:sz w:val="24"/>
          <w:szCs w:val="24"/>
          <w:lang w:val="en-US" w:eastAsia="zh-CN" w:bidi="ar-SA"/>
        </w:rPr>
        <w:t>开户银行：中国邮储银行成都市天府支行</w:t>
      </w:r>
    </w:p>
    <w:p w14:paraId="14CB6C2A">
      <w:pPr>
        <w:keepNext w:val="0"/>
        <w:keepLines w:val="0"/>
        <w:pageBreakBefore w:val="0"/>
        <w:widowControl w:val="0"/>
        <w:kinsoku/>
        <w:wordWrap/>
        <w:overflowPunct/>
        <w:topLinePunct w:val="0"/>
        <w:autoSpaceDE/>
        <w:autoSpaceDN/>
        <w:bidi w:val="0"/>
        <w:adjustRightInd/>
        <w:snapToGrid/>
        <w:spacing w:line="360" w:lineRule="auto"/>
        <w:ind w:left="0" w:right="0" w:firstLine="480"/>
        <w:jc w:val="left"/>
        <w:textAlignment w:val="auto"/>
        <w:rPr>
          <w:rFonts w:ascii="宋体" w:eastAsia="宋体" w:hAnsi="宋体" w:cs="宋体" w:hint="eastAsia"/>
          <w:color w:val="auto"/>
          <w:kern w:val="0"/>
          <w:sz w:val="24"/>
          <w:szCs w:val="24"/>
          <w:lang w:val="en-US" w:eastAsia="zh-CN" w:bidi="ar-SA"/>
        </w:rPr>
      </w:pPr>
      <w:r>
        <w:rPr>
          <w:rFonts w:ascii="宋体" w:eastAsia="宋体" w:hAnsi="宋体" w:cs="宋体" w:hint="eastAsia"/>
          <w:color w:val="auto"/>
          <w:kern w:val="0"/>
          <w:sz w:val="24"/>
          <w:szCs w:val="24"/>
          <w:lang w:val="en-US" w:eastAsia="zh-CN" w:bidi="ar-SA"/>
        </w:rPr>
        <w:t>账    号：951000010003533377</w:t>
      </w:r>
    </w:p>
    <w:p w14:paraId="2C1660EA">
      <w:pPr>
        <w:keepNext w:val="0"/>
        <w:keepLines w:val="0"/>
        <w:pageBreakBefore w:val="0"/>
        <w:widowControl w:val="0"/>
        <w:kinsoku/>
        <w:wordWrap/>
        <w:overflowPunct/>
        <w:topLinePunct w:val="0"/>
        <w:autoSpaceDE/>
        <w:autoSpaceDN/>
        <w:bidi w:val="0"/>
        <w:adjustRightInd/>
        <w:snapToGrid/>
        <w:spacing w:line="360" w:lineRule="auto"/>
        <w:ind w:left="0" w:right="0" w:firstLine="480"/>
        <w:jc w:val="left"/>
        <w:textAlignment w:val="auto"/>
        <w:rPr>
          <w:rFonts w:ascii="宋体" w:eastAsia="宋体" w:hAnsi="宋体" w:cs="宋体" w:hint="eastAsia"/>
          <w:color w:val="auto"/>
          <w:kern w:val="0"/>
          <w:sz w:val="24"/>
          <w:szCs w:val="24"/>
          <w:lang w:val="en-US" w:eastAsia="zh-CN" w:bidi="ar-SA"/>
        </w:rPr>
      </w:pPr>
      <w:r>
        <w:rPr>
          <w:rFonts w:ascii="宋体" w:eastAsia="宋体" w:hAnsi="宋体" w:cs="宋体" w:hint="eastAsia"/>
          <w:color w:val="auto"/>
          <w:kern w:val="0"/>
          <w:sz w:val="24"/>
          <w:szCs w:val="24"/>
          <w:lang w:val="en-US" w:eastAsia="zh-CN" w:bidi="ar-SA"/>
        </w:rPr>
        <w:t>行    号：403651000057</w:t>
      </w:r>
    </w:p>
    <w:p w14:paraId="671AD1F6">
      <w:pPr>
        <w:keepLines w:val="0"/>
        <w:pageBreakBefore w:val="0"/>
        <w:kinsoku/>
        <w:wordWrap/>
        <w:overflowPunct/>
        <w:topLinePunct w:val="0"/>
        <w:autoSpaceDE w:val="0"/>
        <w:bidi w:val="0"/>
        <w:spacing w:line="360" w:lineRule="auto"/>
        <w:ind w:left="0" w:right="0" w:firstLine="480" w:firstLineChars="200"/>
        <w:rPr>
          <w:rFonts w:ascii="宋体" w:eastAsia="宋体" w:hAnsi="宋体" w:cs="宋体"/>
          <w:color w:val="auto"/>
          <w:sz w:val="24"/>
        </w:rPr>
      </w:pPr>
      <w:r>
        <w:rPr>
          <w:rFonts w:ascii="宋体" w:eastAsia="宋体" w:hAnsi="宋体" w:cs="宋体" w:hint="eastAsia"/>
          <w:color w:val="auto"/>
          <w:sz w:val="24"/>
        </w:rPr>
        <w:t>地    址：成都市高新区吉泰五路88号3栋</w:t>
      </w:r>
      <w:r>
        <w:rPr>
          <w:rFonts w:ascii="宋体" w:eastAsia="宋体" w:hAnsi="宋体" w:cs="宋体" w:hint="eastAsia"/>
          <w:color w:val="auto"/>
          <w:sz w:val="24"/>
          <w:lang w:val="en-US" w:eastAsia="zh-CN"/>
        </w:rPr>
        <w:t>16</w:t>
      </w:r>
      <w:r>
        <w:rPr>
          <w:rFonts w:ascii="宋体" w:eastAsia="宋体" w:hAnsi="宋体" w:cs="宋体" w:hint="eastAsia"/>
          <w:color w:val="auto"/>
          <w:sz w:val="24"/>
        </w:rPr>
        <w:t>层</w:t>
      </w:r>
      <w:r>
        <w:rPr>
          <w:rFonts w:ascii="宋体" w:eastAsia="宋体" w:hAnsi="宋体" w:cs="宋体" w:hint="eastAsia"/>
          <w:color w:val="auto"/>
          <w:sz w:val="24"/>
          <w:lang w:val="en-US" w:eastAsia="zh-CN"/>
        </w:rPr>
        <w:t>7</w:t>
      </w:r>
      <w:r>
        <w:rPr>
          <w:rFonts w:ascii="宋体" w:eastAsia="宋体" w:hAnsi="宋体" w:cs="宋体" w:hint="eastAsia"/>
          <w:color w:val="auto"/>
          <w:sz w:val="24"/>
        </w:rPr>
        <w:t>号(花样年香年广场）</w:t>
      </w:r>
    </w:p>
    <w:p w14:paraId="01500278">
      <w:pPr>
        <w:keepLines w:val="0"/>
        <w:pageBreakBefore w:val="0"/>
        <w:kinsoku/>
        <w:wordWrap/>
        <w:overflowPunct/>
        <w:topLinePunct w:val="0"/>
        <w:autoSpaceDE w:val="0"/>
        <w:bidi w:val="0"/>
        <w:spacing w:line="360" w:lineRule="auto"/>
        <w:ind w:left="0" w:right="0" w:firstLine="480" w:firstLineChars="200"/>
        <w:rPr>
          <w:rFonts w:ascii="宋体" w:eastAsia="宋体" w:hAnsi="宋体" w:cs="宋体" w:hint="default"/>
          <w:color w:val="auto"/>
          <w:sz w:val="24"/>
          <w:lang w:val="en-US" w:eastAsia="zh-CN"/>
        </w:rPr>
      </w:pPr>
      <w:r>
        <w:rPr>
          <w:rFonts w:ascii="宋体" w:eastAsia="宋体" w:hAnsi="宋体" w:cs="宋体" w:hint="eastAsia"/>
          <w:color w:val="auto"/>
          <w:sz w:val="24"/>
        </w:rPr>
        <w:t>联 系 人：</w:t>
      </w:r>
      <w:r>
        <w:rPr>
          <w:rFonts w:ascii="宋体" w:eastAsia="宋体" w:hAnsi="宋体" w:cs="宋体" w:hint="eastAsia"/>
          <w:color w:val="auto"/>
          <w:sz w:val="24"/>
          <w:lang w:val="en-US" w:eastAsia="zh-CN"/>
        </w:rPr>
        <w:t>王子雄、</w:t>
      </w:r>
      <w:r>
        <w:rPr>
          <w:rFonts w:ascii="宋体" w:eastAsia="宋体" w:hAnsi="宋体" w:cs="宋体" w:hint="eastAsia"/>
          <w:color w:val="auto"/>
          <w:sz w:val="24"/>
        </w:rPr>
        <w:t>乐敏</w:t>
      </w:r>
      <w:r>
        <w:rPr>
          <w:rFonts w:ascii="宋体" w:eastAsia="宋体" w:hAnsi="宋体" w:cs="宋体" w:hint="eastAsia"/>
          <w:color w:val="auto"/>
          <w:sz w:val="24"/>
          <w:lang w:eastAsia="zh-CN"/>
        </w:rPr>
        <w:t>、</w:t>
      </w:r>
      <w:r>
        <w:rPr>
          <w:rFonts w:ascii="宋体" w:eastAsia="宋体" w:hAnsi="宋体" w:cs="宋体" w:hint="eastAsia"/>
          <w:color w:val="auto"/>
          <w:sz w:val="24"/>
          <w:lang w:val="en-US" w:eastAsia="zh-CN"/>
        </w:rPr>
        <w:t>陈艳</w:t>
      </w:r>
    </w:p>
    <w:p w14:paraId="07AD2771">
      <w:pPr>
        <w:keepNext w:val="0"/>
        <w:keepLines w:val="0"/>
        <w:pageBreakBefore w:val="0"/>
        <w:widowControl w:val="0"/>
        <w:kinsoku/>
        <w:wordWrap/>
        <w:overflowPunct/>
        <w:topLinePunct w:val="0"/>
        <w:autoSpaceDE/>
        <w:autoSpaceDN/>
        <w:bidi w:val="0"/>
        <w:adjustRightInd/>
        <w:snapToGrid/>
        <w:spacing w:line="360" w:lineRule="auto"/>
        <w:ind w:left="0" w:right="0" w:firstLine="480"/>
        <w:jc w:val="left"/>
        <w:textAlignment w:val="auto"/>
        <w:rPr>
          <w:rFonts w:ascii="宋体" w:eastAsia="宋体" w:hAnsi="宋体" w:cs="宋体" w:hint="eastAsia"/>
          <w:color w:val="auto"/>
          <w:kern w:val="0"/>
          <w:sz w:val="24"/>
          <w:szCs w:val="24"/>
          <w:lang w:val="en-US" w:eastAsia="zh-CN" w:bidi="ar-SA"/>
        </w:rPr>
      </w:pPr>
      <w:r>
        <w:rPr>
          <w:rFonts w:ascii="宋体" w:eastAsia="宋体" w:hAnsi="宋体" w:cs="宋体" w:hint="eastAsia"/>
          <w:color w:val="auto"/>
          <w:kern w:val="0"/>
          <w:sz w:val="24"/>
          <w:szCs w:val="24"/>
          <w:lang w:val="en-US" w:eastAsia="zh-CN" w:bidi="ar-SA"/>
        </w:rPr>
        <w:t>电    话：028-85353312-608（报名及采购项目相关事宜咨询）</w:t>
      </w:r>
    </w:p>
    <w:p w14:paraId="15EB78E4">
      <w:pPr>
        <w:keepNext w:val="0"/>
        <w:keepLines w:val="0"/>
        <w:pageBreakBefore w:val="0"/>
        <w:widowControl w:val="0"/>
        <w:kinsoku/>
        <w:wordWrap/>
        <w:overflowPunct/>
        <w:topLinePunct w:val="0"/>
        <w:autoSpaceDE/>
        <w:autoSpaceDN/>
        <w:bidi w:val="0"/>
        <w:adjustRightInd/>
        <w:snapToGrid/>
        <w:spacing w:line="360" w:lineRule="auto"/>
        <w:ind w:left="0" w:right="0" w:firstLine="480"/>
        <w:jc w:val="left"/>
        <w:textAlignment w:val="auto"/>
        <w:rPr>
          <w:rFonts w:ascii="宋体" w:eastAsia="宋体" w:hAnsi="宋体" w:cs="宋体" w:hint="eastAsia"/>
          <w:color w:val="auto"/>
          <w:kern w:val="0"/>
          <w:sz w:val="24"/>
          <w:szCs w:val="24"/>
          <w:lang w:val="en-US" w:eastAsia="zh-CN" w:bidi="ar-SA"/>
        </w:rPr>
      </w:pPr>
      <w:r>
        <w:rPr>
          <w:rFonts w:ascii="宋体" w:eastAsia="宋体" w:hAnsi="宋体" w:cs="宋体" w:hint="eastAsia"/>
          <w:color w:val="auto"/>
          <w:kern w:val="0"/>
          <w:sz w:val="24"/>
          <w:szCs w:val="24"/>
          <w:lang w:val="en-US" w:eastAsia="zh-CN" w:bidi="ar-SA"/>
        </w:rPr>
        <w:t>邮    箱：wangzixiong@sczz84510079.com</w:t>
      </w:r>
    </w:p>
    <w:p w14:paraId="331DF397">
      <w:pPr>
        <w:keepLines w:val="0"/>
        <w:pageBreakBefore w:val="0"/>
        <w:widowControl/>
        <w:kinsoku/>
        <w:wordWrap/>
        <w:overflowPunct/>
        <w:topLinePunct w:val="0"/>
        <w:bidi w:val="0"/>
        <w:spacing w:line="360" w:lineRule="auto"/>
        <w:ind w:left="0" w:right="0" w:firstLine="480" w:firstLineChars="200"/>
        <w:jc w:val="left"/>
        <w:rPr>
          <w:rFonts w:ascii="宋体" w:eastAsia="宋体" w:hAnsi="宋体" w:cs="宋体"/>
          <w:b/>
          <w:bCs/>
          <w:color w:val="auto"/>
          <w:kern w:val="0"/>
          <w:sz w:val="24"/>
          <w:szCs w:val="24"/>
          <w:lang w:val="en-US" w:eastAsia="zh-CN" w:bidi="ar-SA"/>
        </w:rPr>
      </w:pPr>
      <w:r>
        <w:rPr>
          <w:rFonts w:ascii="宋体" w:eastAsia="宋体" w:hAnsi="宋体" w:cs="宋体" w:hint="eastAsia"/>
          <w:b/>
          <w:bCs/>
          <w:color w:val="auto"/>
          <w:kern w:val="0"/>
          <w:sz w:val="24"/>
          <w:szCs w:val="24"/>
          <w:lang w:val="en-US" w:eastAsia="zh-CN" w:bidi="ar-SA"/>
        </w:rPr>
        <w:t>2.中国邮政电子采购平台：https://cg.11185.cn/</w:t>
      </w:r>
    </w:p>
    <w:p w14:paraId="4CEBC49E">
      <w:pPr>
        <w:keepLines w:val="0"/>
        <w:pageBreakBefore w:val="0"/>
        <w:widowControl/>
        <w:kinsoku/>
        <w:wordWrap/>
        <w:overflowPunct/>
        <w:topLinePunct w:val="0"/>
        <w:bidi w:val="0"/>
        <w:spacing w:line="360" w:lineRule="auto"/>
        <w:ind w:left="0" w:right="0" w:firstLine="480" w:firstLineChars="200"/>
        <w:jc w:val="left"/>
        <w:rPr>
          <w:rFonts w:ascii="宋体" w:eastAsia="宋体" w:hAnsi="宋体" w:cs="宋体"/>
          <w:b w:val="0"/>
          <w:bCs/>
          <w:color w:val="auto"/>
          <w:kern w:val="0"/>
          <w:sz w:val="24"/>
          <w:szCs w:val="24"/>
          <w:lang w:val="en-US" w:eastAsia="zh-CN" w:bidi="ar-SA"/>
        </w:rPr>
      </w:pPr>
      <w:r>
        <w:rPr>
          <w:rFonts w:ascii="宋体" w:eastAsia="宋体" w:hAnsi="宋体" w:cs="宋体" w:hint="eastAsia"/>
          <w:b w:val="0"/>
          <w:bCs/>
          <w:color w:val="auto"/>
          <w:kern w:val="0"/>
          <w:sz w:val="24"/>
          <w:szCs w:val="24"/>
          <w:lang w:val="en-US" w:eastAsia="zh-CN" w:bidi="ar-SA"/>
        </w:rPr>
        <w:t>网站注册与操作问题联系客服电话：400-709-1099</w:t>
      </w:r>
      <w:r>
        <w:rPr>
          <w:rFonts w:ascii="宋体" w:eastAsia="宋体" w:hAnsi="宋体" w:cs="宋体" w:hint="eastAsia"/>
          <w:b w:val="0"/>
          <w:bCs/>
          <w:color w:val="auto"/>
          <w:spacing w:val="-4"/>
          <w:kern w:val="0"/>
          <w:sz w:val="24"/>
          <w:szCs w:val="24"/>
          <w:lang w:val="en-US" w:eastAsia="zh-CN" w:bidi="ar-SA"/>
        </w:rPr>
        <w:t xml:space="preserve"> </w:t>
      </w:r>
      <w:r>
        <w:rPr>
          <w:rFonts w:ascii="宋体" w:eastAsia="宋体" w:hAnsi="宋体" w:cs="宋体" w:hint="eastAsia"/>
          <w:b w:val="0"/>
          <w:bCs/>
          <w:color w:val="auto"/>
          <w:kern w:val="0"/>
          <w:sz w:val="24"/>
          <w:szCs w:val="24"/>
          <w:lang w:val="en-US" w:eastAsia="zh-CN" w:bidi="ar-SA"/>
        </w:rPr>
        <w:t xml:space="preserve"> (周一～周五9:00-17:00）；</w:t>
      </w:r>
    </w:p>
    <w:p w14:paraId="62053704">
      <w:pPr>
        <w:keepLines w:val="0"/>
        <w:pageBreakBefore w:val="0"/>
        <w:widowControl/>
        <w:kinsoku/>
        <w:wordWrap/>
        <w:overflowPunct/>
        <w:topLinePunct w:val="0"/>
        <w:bidi w:val="0"/>
        <w:spacing w:line="360" w:lineRule="auto"/>
        <w:ind w:left="0" w:right="0" w:firstLine="480" w:firstLineChars="200"/>
        <w:jc w:val="left"/>
        <w:rPr>
          <w:rFonts w:ascii="宋体" w:eastAsia="宋体" w:hAnsi="宋体" w:cs="宋体"/>
          <w:b w:val="0"/>
          <w:bCs/>
          <w:color w:val="auto"/>
          <w:kern w:val="0"/>
          <w:sz w:val="24"/>
          <w:szCs w:val="24"/>
          <w:lang w:val="en-US" w:eastAsia="zh-CN" w:bidi="ar-SA"/>
        </w:rPr>
      </w:pPr>
      <w:r>
        <w:rPr>
          <w:rFonts w:ascii="宋体" w:eastAsia="宋体" w:hAnsi="宋体" w:cs="宋体" w:hint="eastAsia"/>
          <w:b w:val="0"/>
          <w:bCs/>
          <w:color w:val="auto"/>
          <w:kern w:val="0"/>
          <w:sz w:val="24"/>
          <w:szCs w:val="24"/>
          <w:lang w:val="en-US" w:eastAsia="zh-CN" w:bidi="ar-SA"/>
        </w:rPr>
        <w:t>网站CA客服电话：400-788-8550 (周一～周五9:00-17:00）。</w:t>
      </w:r>
    </w:p>
    <w:p w14:paraId="7DC09616">
      <w:pPr>
        <w:keepLines w:val="0"/>
        <w:pageBreakBefore w:val="0"/>
        <w:widowControl/>
        <w:kinsoku/>
        <w:wordWrap/>
        <w:overflowPunct/>
        <w:topLinePunct w:val="0"/>
        <w:bidi w:val="0"/>
        <w:spacing w:line="360" w:lineRule="auto"/>
        <w:ind w:left="0" w:right="0" w:firstLine="480" w:firstLineChars="200"/>
        <w:jc w:val="left"/>
        <w:rPr>
          <w:rFonts w:ascii="宋体" w:eastAsia="宋体" w:hAnsi="宋体" w:cs="宋体"/>
          <w:b/>
          <w:bCs/>
          <w:color w:val="auto"/>
          <w:kern w:val="0"/>
          <w:sz w:val="24"/>
          <w:szCs w:val="24"/>
          <w:lang w:val="en-US" w:eastAsia="zh-CN" w:bidi="ar-SA"/>
        </w:rPr>
      </w:pPr>
      <w:r>
        <w:rPr>
          <w:rFonts w:ascii="宋体" w:eastAsia="宋体" w:hAnsi="宋体" w:cs="宋体" w:hint="eastAsia"/>
          <w:b/>
          <w:bCs/>
          <w:color w:val="auto"/>
          <w:kern w:val="0"/>
          <w:sz w:val="24"/>
          <w:szCs w:val="24"/>
          <w:lang w:val="en-US" w:eastAsia="zh-CN" w:bidi="ar-SA"/>
        </w:rPr>
        <w:t>3.招标人：中国邮政集团有限公司四川省分公司</w:t>
      </w:r>
    </w:p>
    <w:p w14:paraId="1A7E9551">
      <w:pPr>
        <w:keepLines w:val="0"/>
        <w:pageBreakBefore w:val="0"/>
        <w:widowControl/>
        <w:kinsoku/>
        <w:wordWrap/>
        <w:overflowPunct/>
        <w:topLinePunct w:val="0"/>
        <w:bidi w:val="0"/>
        <w:spacing w:line="360" w:lineRule="auto"/>
        <w:ind w:left="0" w:right="0" w:firstLine="480" w:firstLineChars="200"/>
        <w:jc w:val="left"/>
        <w:rPr>
          <w:rFonts w:ascii="宋体" w:eastAsia="宋体" w:hAnsi="宋体" w:cs="宋体" w:hint="eastAsia"/>
          <w:color w:val="auto"/>
          <w:kern w:val="0"/>
          <w:sz w:val="24"/>
          <w:szCs w:val="24"/>
          <w:lang w:val="en-US" w:eastAsia="zh-CN" w:bidi="ar-SA"/>
        </w:rPr>
      </w:pPr>
      <w:r>
        <w:rPr>
          <w:rFonts w:ascii="宋体" w:eastAsia="宋体" w:hAnsi="宋体" w:cs="宋体" w:hint="eastAsia"/>
          <w:color w:val="auto"/>
          <w:kern w:val="0"/>
          <w:sz w:val="24"/>
          <w:szCs w:val="24"/>
          <w:lang w:val="en-US" w:eastAsia="zh-CN" w:bidi="ar-SA"/>
        </w:rPr>
        <w:t>地  址：成都市青羊区下南大街6号天府绿洲</w:t>
      </w:r>
    </w:p>
    <w:p w14:paraId="00883BBF"/>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42"/>
    <w:multiLevelType w:val="multilevel"/>
    <w:tmpl w:val="00000042"/>
    <w:lvl w:ilvl="0">
      <w:start w:val="1"/>
      <w:numFmt w:val="japaneseCounting"/>
      <w:lvlText w:val="%1、"/>
      <w:lvlJc w:val="left"/>
      <w:pPr>
        <w:tabs>
          <w:tab w:val="left" w:pos="720"/>
        </w:tabs>
        <w:ind w:left="720" w:hanging="720"/>
      </w:pPr>
      <w:rPr>
        <w:rFonts w:ascii="宋体" w:eastAsia="宋体" w:hAnsi="Times New Roman" w:cs="Times New Roman"/>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ocumentProtection w:edit="readOnly" w:enforcement="1" w:cryptProviderType="rsaFull" w:cryptAlgorithmClass="hash" w:cryptAlgorithmType="typeAny" w:cryptAlgorithmSid="4" w:cryptSpinCount="50000" w:hash="JpmxebpniHahq4pzcuyX86bp4WU=&#10;" w:salt="hIqOl99kIr/+N0hyovEq7Q==&#1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220E38"/>
    <w:rsid w:val="5A220E3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21"/>
      <w:szCs w:val="24"/>
      <w:lang w:val="en-US" w:eastAsia="zh-CN" w:bidi="ar-SA"/>
    </w:rPr>
  </w:style>
  <w:style w:type="paragraph" w:styleId="Heading1">
    <w:name w:val="heading 1"/>
    <w:basedOn w:val="Normal"/>
    <w:next w:val="Normal"/>
    <w:link w:val="1Char"/>
    <w:qFormat/>
    <w:pPr>
      <w:keepNext/>
      <w:keepLines/>
      <w:spacing w:before="340" w:after="330" w:line="576" w:lineRule="auto"/>
      <w:outlineLvl w:val="0"/>
    </w:pPr>
    <w:rPr>
      <w:b/>
      <w:kern w:val="44"/>
      <w:sz w:val="44"/>
      <w:szCs w:val="20"/>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next w:val="Normal"/>
    <w:qFormat/>
    <w:rPr>
      <w:rFonts w:ascii="宋体" w:eastAsia="宋体" w:hAnsi="宋体" w:cs="宋体"/>
      <w:sz w:val="28"/>
      <w:szCs w:val="2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next w:val="BodyText"/>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Normal"/>
    <w:next w:val="Normal"/>
    <w:uiPriority w:val="99"/>
    <w:qFormat/>
    <w:pPr>
      <w:spacing w:after="120"/>
      <w:ind w:left="200" w:firstLine="200" w:leftChars="200" w:firstLineChars="200"/>
    </w:pPr>
  </w:style>
  <w:style w:type="character" w:customStyle="1" w:styleId="1Char">
    <w:name w:val="标题 1 Char"/>
    <w:link w:val="Heading1"/>
    <w:qFormat/>
    <w:rPr>
      <w:b/>
      <w:kern w:val="44"/>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7</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NORA</cp:lastModifiedBy>
  <cp:revision>1</cp:revision>
  <dcterms:created xsi:type="dcterms:W3CDTF">2025-07-09T01:53:00Z</dcterms:created>
  <dcterms:modified xsi:type="dcterms:W3CDTF">2025-07-09T01:54:18Z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E9D57535DC514863A5BF72BAC35E9D74_11</vt:lpwstr>
  </property>
  <property fmtid="{D5CDD505-2E9C-101B-9397-08002B2CF9AE}" pid="3" name="KSOProductBuildVer">
    <vt:lpwstr>2052-12.1.0.21915</vt:lpwstr>
  </property>
  <property fmtid="{D5CDD505-2E9C-101B-9397-08002B2CF9AE}" pid="4" name="KSOTemplateDocerSaveRecord">
    <vt:lpwstr>eyJoZGlkIjoiMGM5ZGM1NzNjMDMwOWQyNWQ1YWYyNWZjNTI2MzZmNjMiLCJ1c2VySWQiOiIxMTYwOTUyNjIwIn0=</vt:lpwstr>
  </property>
</Properties>
</file>