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9F73">
      <w:pPr>
        <w:pStyle w:val="2"/>
        <w:keepNext w:val="0"/>
        <w:keepLines w:val="0"/>
        <w:spacing w:line="415" w:lineRule="auto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采购项目技术、服务及其他商务要求</w:t>
      </w:r>
    </w:p>
    <w:p w14:paraId="22370B9A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一、项目概况：为丰富市民的体育文化生活，推动全市篮球运动的普及和发展，促进文旅经济提档加速，特举办本次城市篮球联赛。本项目旨在对联赛的直播、宣传等方面进行全面规划，确保赛事的顺利进行和广泛传播。</w:t>
      </w:r>
    </w:p>
    <w:p w14:paraId="79A54C24">
      <w:pPr>
        <w:spacing w:line="480" w:lineRule="auto"/>
        <w:ind w:firstLine="480" w:firstLineChars="200"/>
        <w:jc w:val="left"/>
        <w:rPr>
          <w:rFonts w:hint="default" w:ascii="宋体" w:hAnsi="宋体" w:eastAsia="宋体" w:cs="仿宋_GB2312"/>
          <w:sz w:val="24"/>
          <w:lang w:val="en-US" w:eastAsia="zh-CN"/>
        </w:rPr>
      </w:pPr>
      <w:r>
        <w:rPr>
          <w:rFonts w:hint="eastAsia" w:ascii="宋体" w:hAnsi="宋体" w:cs="仿宋_GB2312"/>
          <w:sz w:val="24"/>
        </w:rPr>
        <w:t>二、服务内容：成交供应商须负责主场直播现场搭建（导播台、调音台、高清摄像机、慢动作（回放）、现场字幕、推拉流、广播级录机等）以及赛事推广等</w:t>
      </w:r>
      <w:r>
        <w:rPr>
          <w:rFonts w:hint="eastAsia" w:ascii="宋体" w:hAnsi="宋体" w:cs="仿宋_GB2312"/>
          <w:sz w:val="24"/>
          <w:lang w:eastAsia="zh-CN"/>
        </w:rPr>
        <w:t>，</w:t>
      </w:r>
      <w:r>
        <w:rPr>
          <w:rFonts w:hint="eastAsia" w:ascii="宋体" w:hAnsi="宋体" w:cs="仿宋_GB2312"/>
          <w:sz w:val="24"/>
          <w:lang w:val="en-US" w:eastAsia="zh-CN"/>
        </w:rPr>
        <w:t>具体内容如下：</w:t>
      </w:r>
    </w:p>
    <w:p w14:paraId="231BC9AD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  <w:lang w:eastAsia="zh-CN"/>
        </w:rPr>
      </w:pPr>
      <w:r>
        <w:rPr>
          <w:rFonts w:hint="eastAsia" w:ascii="宋体" w:hAnsi="宋体" w:cs="仿宋_GB2312"/>
          <w:sz w:val="24"/>
          <w:lang w:val="en-US" w:eastAsia="zh-CN"/>
        </w:rPr>
        <w:t>1.</w:t>
      </w:r>
      <w:r>
        <w:rPr>
          <w:rFonts w:hint="eastAsia" w:ascii="宋体" w:hAnsi="宋体" w:cs="仿宋_GB2312"/>
          <w:sz w:val="24"/>
        </w:rPr>
        <w:t>主场直播</w:t>
      </w:r>
      <w:r>
        <w:rPr>
          <w:rFonts w:hint="eastAsia" w:ascii="宋体" w:hAnsi="宋体" w:cs="仿宋_GB2312"/>
          <w:sz w:val="24"/>
          <w:lang w:val="en-US" w:eastAsia="zh-CN"/>
        </w:rPr>
        <w:t>4场（开幕式1场；决赛3场），包含</w:t>
      </w:r>
      <w:r>
        <w:rPr>
          <w:rFonts w:hint="eastAsia" w:ascii="宋体" w:hAnsi="宋体" w:cs="仿宋_GB2312"/>
          <w:sz w:val="24"/>
        </w:rPr>
        <w:t>导播台、调音台、高清摄像机、慢动作（回放）、现场字幕、推拉流、广播级录机等</w:t>
      </w:r>
      <w:r>
        <w:rPr>
          <w:rFonts w:hint="eastAsia" w:ascii="宋体" w:hAnsi="宋体" w:cs="仿宋_GB2312"/>
          <w:sz w:val="24"/>
          <w:lang w:eastAsia="zh-CN"/>
        </w:rPr>
        <w:t>；</w:t>
      </w:r>
    </w:p>
    <w:p w14:paraId="105871C2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  <w:lang w:val="en-US" w:eastAsia="zh-CN"/>
        </w:rPr>
      </w:pPr>
      <w:r>
        <w:rPr>
          <w:rFonts w:hint="eastAsia" w:ascii="宋体" w:hAnsi="宋体" w:cs="仿宋_GB2312"/>
          <w:sz w:val="24"/>
          <w:lang w:val="en-US" w:eastAsia="zh-CN"/>
        </w:rPr>
        <w:t>2.</w:t>
      </w:r>
      <w:r>
        <w:rPr>
          <w:rFonts w:hint="eastAsia" w:ascii="宋体" w:hAnsi="宋体" w:cs="仿宋_GB2312"/>
          <w:sz w:val="24"/>
          <w:lang w:eastAsia="zh-CN"/>
        </w:rPr>
        <w:t>报纸、电视、广播、新媒体宣传不低于</w:t>
      </w:r>
      <w:r>
        <w:rPr>
          <w:rFonts w:hint="eastAsia" w:ascii="宋体" w:hAnsi="宋体" w:cs="仿宋_GB2312"/>
          <w:sz w:val="24"/>
          <w:lang w:val="en-US" w:eastAsia="zh-CN"/>
        </w:rPr>
        <w:t>124</w:t>
      </w:r>
      <w:r>
        <w:rPr>
          <w:rFonts w:hint="eastAsia" w:ascii="宋体" w:hAnsi="宋体" w:cs="仿宋_GB2312"/>
          <w:sz w:val="24"/>
          <w:lang w:eastAsia="zh-CN"/>
        </w:rPr>
        <w:t>（条、篇、个），</w:t>
      </w:r>
      <w:r>
        <w:rPr>
          <w:rFonts w:hint="eastAsia" w:ascii="宋体" w:hAnsi="宋体" w:cs="仿宋_GB2312"/>
          <w:sz w:val="24"/>
          <w:lang w:val="en-US" w:eastAsia="zh-CN"/>
        </w:rPr>
        <w:t>其中短视频不少于62条。</w:t>
      </w:r>
    </w:p>
    <w:p w14:paraId="0D7617E2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通过以上直播方案、针对市县区的直播统筹办法、整体宣传方案以及短视频专项宣传方案的实施，确保全市篮球联赛的顺利进行和广泛传播。在比赛过程中，根据实际情况对方案进行调整和优化，提高联赛的质量和影响力，为市民带来更加精彩的篮球盛宴。</w:t>
      </w:r>
    </w:p>
    <w:p w14:paraId="5BBCCF61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三、服务要求：</w:t>
      </w:r>
    </w:p>
    <w:p w14:paraId="6C0AAD97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</w:t>
      </w:r>
      <w:r>
        <w:rPr>
          <w:rFonts w:hint="eastAsia" w:ascii="宋体" w:hAnsi="宋体" w:cs="仿宋_GB2312"/>
          <w:sz w:val="24"/>
          <w:lang w:val="en-US" w:eastAsia="zh-CN"/>
        </w:rPr>
        <w:t>.</w:t>
      </w:r>
      <w:r>
        <w:rPr>
          <w:rFonts w:hint="eastAsia" w:ascii="宋体" w:hAnsi="宋体" w:cs="仿宋_GB2312"/>
          <w:sz w:val="24"/>
        </w:rPr>
        <w:t>直播机位设置：</w:t>
      </w:r>
    </w:p>
    <w:p w14:paraId="0C2ED126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一号机位：设置在球场一侧的高处，与中线对齐，高度约为 3 —5 米。该机位主要用于拍摄全场比赛的整体画面，包括球员的跑位、战术布局以及比赛的整体节奏。可以捕捉到球队的进攻和防守转换，为观众提供宏观的比赛视角。</w:t>
      </w:r>
    </w:p>
    <w:p w14:paraId="7D6A4CA0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二号机位：设置在一号机右侧，高度相同。此机位用于补充一号机位的拍摄范围，中景拍摄，能够清晰地展现球员的动作和比赛情况（犯规、受伤、争议等）。两个机位相互配合，为观众提供全面的比赛画面。</w:t>
      </w:r>
    </w:p>
    <w:p w14:paraId="49EDD9C4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三号机位：设置在一号机位下方，脚架地拍，该机位主要用于拍摄开球瞬间、换人、教练的战术布置、指挥动作以及球员与教练之间的交流情况。可以让观众了解到球队在比赛中的战术调整和教练的指导作用。</w:t>
      </w:r>
    </w:p>
    <w:p w14:paraId="3D0BB4BC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四号、五号机位：分别设置在两蓝球架下，拍摄球员投篮、扣篮等精彩瞬间，能够从正面捕捉到球员的投篮动作和篮球入网的画面，增强比赛的观赏性。</w:t>
      </w:r>
    </w:p>
    <w:p w14:paraId="7C5F1C49">
      <w:pPr>
        <w:spacing w:line="480" w:lineRule="auto"/>
        <w:ind w:firstLine="48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cs="仿宋_GB2312"/>
          <w:sz w:val="24"/>
        </w:rPr>
        <w:t>如人员、设备充足，可添设机位拍摄观众、赛场大全景等，反映观众的热情、加油助威的场景，营造出热烈的比赛氛围，让观众感受到现场的激情</w:t>
      </w:r>
      <w:r>
        <w:rPr>
          <w:rFonts w:hint="eastAsia" w:ascii="宋体" w:hAnsi="宋体" w:cs="仿宋_GB2312"/>
          <w:sz w:val="24"/>
          <w:lang w:eastAsia="zh-CN"/>
        </w:rPr>
        <w:t>。</w:t>
      </w:r>
      <w:r>
        <w:rPr>
          <w:rFonts w:hint="eastAsia" w:ascii="宋体" w:hAnsi="宋体" w:cs="仿宋_GB2312"/>
          <w:sz w:val="24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 </w:t>
      </w:r>
    </w:p>
    <w:p w14:paraId="7775FF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266700" cy="295275"/>
            <wp:effectExtent l="0" t="0" r="0" b="9525"/>
            <wp:docPr id="6" name="图片 6" descr="5a61a8593949263d74b84d2a909b8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a61a8593949263d74b84d2a909b850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3914775" cy="2086610"/>
            <wp:effectExtent l="0" t="0" r="9525" b="8890"/>
            <wp:docPr id="5" name="图片 5" descr="590bed3808f00350c66e25bc821c57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90bed3808f00350c66e25bc821c57d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266700" cy="295275"/>
            <wp:effectExtent l="0" t="0" r="0" b="9525"/>
            <wp:docPr id="4" name="图片 4" descr="5a61a8593949263d74b84d2a909b8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a61a8593949263d74b84d2a909b850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08885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15"/>
          <w:szCs w:val="15"/>
        </w:rPr>
        <w:t>（四号）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266700" cy="295275"/>
            <wp:effectExtent l="0" t="0" r="0" b="9525"/>
            <wp:docPr id="3" name="图片 3" descr="5a61a8593949263d74b84d2a909b8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61a8593949263d74b84d2a909b850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266700" cy="295275"/>
            <wp:effectExtent l="0" t="0" r="0" b="9525"/>
            <wp:docPr id="2" name="图片 2" descr="5a61a8593949263d74b84d2a909b8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61a8593949263d74b84d2a909b850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0" distR="0">
            <wp:extent cx="266700" cy="295275"/>
            <wp:effectExtent l="0" t="0" r="0" b="9525"/>
            <wp:docPr id="1" name="图片 1" descr="5a61a8593949263d74b84d2a909b8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61a8593949263d74b84d2a909b850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</w:rPr>
        <w:t xml:space="preserve">              </w:t>
      </w:r>
      <w:r>
        <w:rPr>
          <w:rFonts w:hint="eastAsia" w:ascii="仿宋" w:hAnsi="仿宋" w:eastAsia="仿宋" w:cs="仿宋"/>
          <w:sz w:val="15"/>
          <w:szCs w:val="15"/>
        </w:rPr>
        <w:t>（五号）</w:t>
      </w:r>
    </w:p>
    <w:p w14:paraId="64456DAF">
      <w:pPr>
        <w:ind w:firstLine="3450" w:firstLineChars="2300"/>
        <w:rPr>
          <w:rFonts w:hint="eastAsia"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15"/>
          <w:szCs w:val="15"/>
        </w:rPr>
        <w:t>（三号） （一号） （二号）</w:t>
      </w:r>
    </w:p>
    <w:p w14:paraId="55B4D4EE">
      <w:pPr>
        <w:spacing w:line="480" w:lineRule="auto"/>
        <w:ind w:firstLine="482" w:firstLineChars="200"/>
        <w:jc w:val="center"/>
        <w:rPr>
          <w:rFonts w:hint="eastAsia" w:ascii="宋体" w:hAnsi="宋体" w:cs="仿宋_GB2312"/>
          <w:sz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直播机位设置，供参考</w:t>
      </w:r>
    </w:p>
    <w:p w14:paraId="67CA0AA1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</w:p>
    <w:p w14:paraId="1785395F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</w:t>
      </w:r>
      <w:r>
        <w:rPr>
          <w:rFonts w:hint="eastAsia" w:ascii="宋体" w:hAnsi="宋体" w:cs="仿宋_GB2312"/>
          <w:sz w:val="24"/>
          <w:lang w:val="en-US" w:eastAsia="zh-CN"/>
        </w:rPr>
        <w:t>.</w:t>
      </w:r>
      <w:r>
        <w:rPr>
          <w:rFonts w:hint="eastAsia" w:ascii="宋体" w:hAnsi="宋体" w:cs="仿宋_GB2312"/>
          <w:sz w:val="24"/>
        </w:rPr>
        <w:t>人员配置要求：</w:t>
      </w:r>
    </w:p>
    <w:p w14:paraId="5F41CFB4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  <w:lang w:val="en-US" w:eastAsia="zh-CN"/>
        </w:rPr>
        <w:t>2.1</w:t>
      </w:r>
      <w:r>
        <w:rPr>
          <w:rFonts w:hint="eastAsia" w:ascii="宋体" w:hAnsi="宋体" w:cs="仿宋_GB2312"/>
          <w:sz w:val="24"/>
        </w:rPr>
        <w:t>解说2 名：（赛事主办方负责）负责比赛的解说和现场互动，介绍比赛规则、球员信息、球队战术等内容，与观众进行实时交流，解答观众的疑问。</w:t>
      </w:r>
    </w:p>
    <w:p w14:paraId="3CA52716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  <w:lang w:val="en-US" w:eastAsia="zh-CN"/>
        </w:rPr>
        <w:t>2.2</w:t>
      </w:r>
      <w:r>
        <w:rPr>
          <w:rFonts w:hint="eastAsia" w:ascii="宋体" w:hAnsi="宋体" w:cs="仿宋_GB2312"/>
          <w:sz w:val="24"/>
        </w:rPr>
        <w:t>慢动作回放制作1名：负责准确捕捉比赛的精彩画面，找准机会回放。</w:t>
      </w:r>
    </w:p>
    <w:p w14:paraId="40BB3A5E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  <w:lang w:val="en-US" w:eastAsia="zh-CN"/>
        </w:rPr>
        <w:t>2.3</w:t>
      </w:r>
      <w:r>
        <w:rPr>
          <w:rFonts w:hint="eastAsia" w:ascii="宋体" w:hAnsi="宋体" w:cs="仿宋_GB2312"/>
          <w:sz w:val="24"/>
        </w:rPr>
        <w:t>现场字幕1名：负责制作、播放双方球员首发、替补名单，实时比分挂角（比赛计时）等。</w:t>
      </w:r>
    </w:p>
    <w:p w14:paraId="3436AAF6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</w:t>
      </w:r>
      <w:r>
        <w:rPr>
          <w:rFonts w:hint="eastAsia" w:ascii="宋体" w:hAnsi="宋体" w:cs="仿宋_GB2312"/>
          <w:sz w:val="24"/>
          <w:lang w:val="en-US" w:eastAsia="zh-CN"/>
        </w:rPr>
        <w:t>.</w:t>
      </w:r>
      <w:r>
        <w:rPr>
          <w:rFonts w:hint="eastAsia" w:ascii="宋体" w:hAnsi="宋体" w:cs="仿宋_GB2312"/>
          <w:sz w:val="24"/>
        </w:rPr>
        <w:t>赛事宣传要求：供应商须负责在报纸、电视、广播、新媒体上发布宣传不低于100（条、篇、个），其中短视频不少于30条。</w:t>
      </w:r>
    </w:p>
    <w:p w14:paraId="62A32A34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四、商务要求：</w:t>
      </w:r>
    </w:p>
    <w:p w14:paraId="3AE850C0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</w:t>
      </w:r>
      <w:r>
        <w:rPr>
          <w:rFonts w:hint="eastAsia" w:ascii="宋体" w:hAnsi="宋体" w:cs="仿宋_GB2312"/>
          <w:sz w:val="24"/>
          <w:lang w:val="en-US" w:eastAsia="zh-CN"/>
        </w:rPr>
        <w:t>.</w:t>
      </w:r>
      <w:r>
        <w:rPr>
          <w:rFonts w:hint="eastAsia" w:ascii="宋体" w:hAnsi="宋体" w:cs="仿宋_GB2312"/>
          <w:sz w:val="24"/>
        </w:rPr>
        <w:t xml:space="preserve">服务时间：主场直播现场搭建须在比赛之前完成，赛事转播为4场（开幕式1场、决赛3场）、赛事宣传时间为在赛事举行期间同步进行。 </w:t>
      </w:r>
    </w:p>
    <w:p w14:paraId="63105F23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</w:t>
      </w:r>
      <w:r>
        <w:rPr>
          <w:rFonts w:hint="eastAsia" w:ascii="宋体" w:hAnsi="宋体" w:cs="仿宋_GB2312"/>
          <w:sz w:val="24"/>
          <w:lang w:val="en-US" w:eastAsia="zh-CN"/>
        </w:rPr>
        <w:t>.</w:t>
      </w:r>
      <w:r>
        <w:rPr>
          <w:rFonts w:hint="eastAsia" w:ascii="宋体" w:hAnsi="宋体" w:cs="仿宋_GB2312"/>
          <w:sz w:val="24"/>
        </w:rPr>
        <w:t>服务地点：采购人指定地点。</w:t>
      </w:r>
    </w:p>
    <w:p w14:paraId="1620592F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</w:t>
      </w:r>
      <w:r>
        <w:rPr>
          <w:rFonts w:hint="eastAsia" w:ascii="宋体" w:hAnsi="宋体" w:cs="仿宋_GB2312"/>
          <w:sz w:val="24"/>
          <w:lang w:val="en-US" w:eastAsia="zh-CN"/>
        </w:rPr>
        <w:t>.</w:t>
      </w:r>
      <w:r>
        <w:rPr>
          <w:rFonts w:hint="eastAsia" w:ascii="宋体" w:hAnsi="宋体" w:cs="仿宋_GB2312"/>
          <w:sz w:val="24"/>
        </w:rPr>
        <w:t>付款方式：采购人与成交供应商在合同中自行约定。</w:t>
      </w:r>
    </w:p>
    <w:p w14:paraId="4C8F7634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hint="eastAsia" w:ascii="宋体" w:hAnsi="宋体" w:cs="宋体"/>
          <w:sz w:val="24"/>
          <w:lang w:val="en-US" w:eastAsia="zh-CN"/>
        </w:rPr>
        <w:t>4.</w:t>
      </w:r>
      <w:r>
        <w:rPr>
          <w:rFonts w:hint="eastAsia" w:ascii="宋体" w:hAnsi="宋体" w:cs="宋体"/>
          <w:sz w:val="24"/>
        </w:rPr>
        <w:t>报价要求：供应商的报价为完成本项目所需的一切费用,包含人工、节目制作、道具租赁、运输、保险、税金等一切与本项目相关的费用,采购人不再另行支付其他费用。</w:t>
      </w:r>
    </w:p>
    <w:p w14:paraId="319DD08E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  <w:lang w:val="en-US" w:eastAsia="zh-CN"/>
        </w:rPr>
        <w:t>5.</w:t>
      </w:r>
      <w:r>
        <w:rPr>
          <w:rFonts w:ascii="宋体" w:hAnsi="宋体" w:cs="仿宋_GB2312"/>
          <w:sz w:val="24"/>
        </w:rPr>
        <w:t>违约责任：</w:t>
      </w:r>
    </w:p>
    <w:p w14:paraId="30E886A1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  <w:lang w:val="en-US" w:eastAsia="zh-CN"/>
        </w:rPr>
        <w:t>5.1</w:t>
      </w:r>
      <w:r>
        <w:rPr>
          <w:rFonts w:ascii="宋体" w:hAnsi="宋体" w:cs="仿宋_GB2312"/>
          <w:sz w:val="24"/>
        </w:rPr>
        <w:t>因成交</w:t>
      </w:r>
      <w:r>
        <w:rPr>
          <w:rFonts w:hint="eastAsia" w:ascii="宋体" w:hAnsi="宋体" w:cs="仿宋_GB2312"/>
          <w:sz w:val="24"/>
        </w:rPr>
        <w:t>供应商</w:t>
      </w:r>
      <w:r>
        <w:rPr>
          <w:rFonts w:ascii="宋体" w:hAnsi="宋体" w:cs="仿宋_GB2312"/>
          <w:sz w:val="24"/>
        </w:rPr>
        <w:t>原因造成采购合同无法按时签订，视为成交</w:t>
      </w:r>
      <w:r>
        <w:rPr>
          <w:rFonts w:hint="eastAsia" w:ascii="宋体" w:hAnsi="宋体" w:cs="仿宋_GB2312"/>
          <w:sz w:val="24"/>
        </w:rPr>
        <w:t>供应商</w:t>
      </w:r>
      <w:r>
        <w:rPr>
          <w:rFonts w:ascii="宋体" w:hAnsi="宋体" w:cs="仿宋_GB2312"/>
          <w:sz w:val="24"/>
        </w:rPr>
        <w:t>违约，成交</w:t>
      </w:r>
      <w:r>
        <w:rPr>
          <w:rFonts w:hint="eastAsia" w:ascii="宋体" w:hAnsi="宋体" w:cs="仿宋_GB2312"/>
          <w:sz w:val="24"/>
        </w:rPr>
        <w:t>供应商</w:t>
      </w:r>
      <w:r>
        <w:rPr>
          <w:rFonts w:ascii="宋体" w:hAnsi="宋体" w:cs="仿宋_GB2312"/>
          <w:sz w:val="24"/>
        </w:rPr>
        <w:t>需支付相应的赔偿。</w:t>
      </w:r>
    </w:p>
    <w:p w14:paraId="0B819E9A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  <w:lang w:val="en-US" w:eastAsia="zh-CN"/>
        </w:rPr>
        <w:t>5.2</w:t>
      </w:r>
      <w:r>
        <w:rPr>
          <w:rFonts w:ascii="宋体" w:hAnsi="宋体" w:cs="仿宋_GB2312"/>
          <w:sz w:val="24"/>
        </w:rPr>
        <w:t>在签订采购合同之后，成交</w:t>
      </w:r>
      <w:r>
        <w:rPr>
          <w:rFonts w:hint="eastAsia" w:ascii="宋体" w:hAnsi="宋体" w:cs="仿宋_GB2312"/>
          <w:sz w:val="24"/>
        </w:rPr>
        <w:t>供应商</w:t>
      </w:r>
      <w:r>
        <w:rPr>
          <w:rFonts w:ascii="宋体" w:hAnsi="宋体" w:cs="仿宋_GB2312"/>
          <w:sz w:val="24"/>
        </w:rPr>
        <w:t>要求解除合同的，视为成交</w:t>
      </w:r>
      <w:r>
        <w:rPr>
          <w:rFonts w:hint="eastAsia" w:ascii="宋体" w:hAnsi="宋体" w:cs="仿宋_GB2312"/>
          <w:sz w:val="24"/>
        </w:rPr>
        <w:t>供应商</w:t>
      </w:r>
      <w:r>
        <w:rPr>
          <w:rFonts w:ascii="宋体" w:hAnsi="宋体" w:cs="仿宋_GB2312"/>
          <w:sz w:val="24"/>
        </w:rPr>
        <w:t>违约，对采购人造成的损失的，成交</w:t>
      </w:r>
      <w:r>
        <w:rPr>
          <w:rFonts w:hint="eastAsia" w:ascii="宋体" w:hAnsi="宋体" w:cs="仿宋_GB2312"/>
          <w:sz w:val="24"/>
        </w:rPr>
        <w:t>供应商</w:t>
      </w:r>
      <w:r>
        <w:rPr>
          <w:rFonts w:ascii="宋体" w:hAnsi="宋体" w:cs="仿宋_GB2312"/>
          <w:sz w:val="24"/>
        </w:rPr>
        <w:t>需支付相应的赔偿。</w:t>
      </w:r>
    </w:p>
    <w:p w14:paraId="6DABFCF6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6.</w:t>
      </w:r>
      <w:r>
        <w:rPr>
          <w:rFonts w:hint="eastAsia" w:ascii="宋体" w:hAnsi="宋体" w:cs="宋体"/>
          <w:sz w:val="24"/>
        </w:rPr>
        <w:t>验收方式：采购人将严格按照政府采购相关法律法规以及《财政部关于进一步加强政府采购需求和履约验收管理的指导意见》财库【2016】205文件要求、</w:t>
      </w: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文件规定的要求和响应文件及合同承诺的内容进行验收。</w:t>
      </w:r>
    </w:p>
    <w:p w14:paraId="5898D74F">
      <w:pPr>
        <w:tabs>
          <w:tab w:val="left" w:pos="7665"/>
        </w:tabs>
        <w:spacing w:line="400" w:lineRule="exact"/>
        <w:ind w:firstLine="480"/>
        <w:rPr>
          <w:rFonts w:hint="eastAsia" w:ascii="宋体" w:hAnsi="宋体"/>
          <w:bCs/>
          <w:color w:val="000000"/>
          <w:sz w:val="24"/>
        </w:rPr>
      </w:pPr>
    </w:p>
    <w:p w14:paraId="096235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2025-12-24T10:09:26Z</dcterms:created>
  <dc:creator>Administrator</dc:creator>
  <cp:lastModifiedBy>WPS_1658308997</cp:lastModifiedBy>
  <dcterms:modified xsi:type="dcterms:W3CDTF">2025-12-24T10:09:30Z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eyJoZGlkIjoiYzIxMDZmOGUxZDFkYjYwNjQxMTgyMWVkNTExYzJhYzAiLCJ1c2VySWQiOiIxMzk0MjczNDQ0In0=</vt:lpwstr>
  </property>
  <property fmtid="{D5CDD505-2E9C-101B-9397-08002B2CF9AE}" pid="4" name="ICV">
    <vt:lpwstr>8AEBA6DF42034BEB8F465C7F163478A5_12</vt:lpwstr>
  </property>
</Properties>
</file>