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2E33FE">
      <w:pPr>
        <w:pStyle w:val="2"/>
        <w:rPr>
          <w:rFonts w:hint="eastAsia"/>
        </w:rPr>
      </w:pPr>
    </w:p>
    <w:p w14:paraId="721BCE2B">
      <w:pPr>
        <w:spacing w:line="480" w:lineRule="auto"/>
        <w:ind w:firstLine="480" w:firstLineChars="200"/>
        <w:jc w:val="left"/>
        <w:rPr>
          <w:rFonts w:ascii="宋体" w:hAnsi="宋体"/>
          <w:sz w:val="24"/>
        </w:rPr>
      </w:pPr>
      <w:r>
        <w:rPr>
          <w:rFonts w:hint="eastAsia" w:ascii="宋体" w:hAnsi="宋体"/>
          <w:sz w:val="24"/>
        </w:rPr>
        <w:t>一、项目概况：广元市朝天区商务局拟通过招标确定一家合格的供应商2025滨江-朝天消费帮扶金秋行动特色商品专场展销会。</w:t>
      </w:r>
    </w:p>
    <w:p w14:paraId="10A8854A">
      <w:pPr>
        <w:spacing w:line="480" w:lineRule="auto"/>
        <w:ind w:firstLine="480" w:firstLineChars="200"/>
        <w:jc w:val="left"/>
        <w:rPr>
          <w:rFonts w:hint="eastAsia" w:ascii="宋体" w:hAnsi="宋体"/>
          <w:sz w:val="24"/>
        </w:rPr>
      </w:pPr>
      <w:r>
        <w:rPr>
          <w:rFonts w:hint="eastAsia" w:ascii="宋体" w:hAnsi="宋体"/>
          <w:sz w:val="24"/>
        </w:rPr>
        <w:t>★二、服务内容：</w:t>
      </w:r>
      <w:r>
        <w:rPr>
          <w:rFonts w:hint="eastAsia" w:ascii="宋体" w:hAnsi="宋体" w:cs="仿宋_GB2312"/>
          <w:kern w:val="0"/>
          <w:sz w:val="24"/>
        </w:rPr>
        <w:t>供应商负责</w:t>
      </w:r>
      <w:r>
        <w:rPr>
          <w:rFonts w:hint="eastAsia" w:ascii="宋体" w:hAnsi="宋体"/>
          <w:sz w:val="24"/>
        </w:rPr>
        <w:t>2025滨江-朝天消费帮扶金秋行动特色商品专场展销会，</w:t>
      </w:r>
      <w:r>
        <w:rPr>
          <w:rFonts w:hint="eastAsia" w:ascii="宋体" w:hAnsi="宋体" w:cs="仿宋_GB2312"/>
          <w:kern w:val="0"/>
          <w:sz w:val="24"/>
        </w:rPr>
        <w:t>详细清单见下表：</w:t>
      </w:r>
    </w:p>
    <w:tbl>
      <w:tblPr>
        <w:tblStyle w:val="3"/>
        <w:tblW w:w="8946" w:type="dxa"/>
        <w:tblInd w:w="93" w:type="dxa"/>
        <w:tblLayout w:type="autofit"/>
        <w:tblCellMar>
          <w:top w:w="0" w:type="dxa"/>
          <w:left w:w="108" w:type="dxa"/>
          <w:bottom w:w="0" w:type="dxa"/>
          <w:right w:w="108" w:type="dxa"/>
        </w:tblCellMar>
      </w:tblPr>
      <w:tblGrid>
        <w:gridCol w:w="724"/>
        <w:gridCol w:w="1156"/>
        <w:gridCol w:w="2609"/>
        <w:gridCol w:w="913"/>
        <w:gridCol w:w="850"/>
        <w:gridCol w:w="2694"/>
      </w:tblGrid>
      <w:tr w14:paraId="0A03EE57">
        <w:tblPrEx>
          <w:tblCellMar>
            <w:top w:w="0" w:type="dxa"/>
            <w:left w:w="108" w:type="dxa"/>
            <w:bottom w:w="0" w:type="dxa"/>
            <w:right w:w="108" w:type="dxa"/>
          </w:tblCellMar>
        </w:tblPrEx>
        <w:trPr>
          <w:trHeight w:val="660" w:hRule="atLeast"/>
        </w:trPr>
        <w:tc>
          <w:tcPr>
            <w:tcW w:w="724" w:type="dxa"/>
            <w:tcBorders>
              <w:top w:val="single" w:color="auto" w:sz="4" w:space="0"/>
              <w:left w:val="single" w:color="auto" w:sz="4" w:space="0"/>
              <w:bottom w:val="single" w:color="auto" w:sz="4" w:space="0"/>
              <w:right w:val="single" w:color="auto" w:sz="4" w:space="0"/>
            </w:tcBorders>
            <w:noWrap w:val="0"/>
            <w:vAlign w:val="center"/>
          </w:tcPr>
          <w:p w14:paraId="208FCA94">
            <w:pPr>
              <w:widowControl/>
              <w:jc w:val="center"/>
              <w:rPr>
                <w:rFonts w:ascii="Arial" w:hAnsi="Arial" w:cs="Arial"/>
                <w:color w:val="000000"/>
                <w:kern w:val="0"/>
                <w:szCs w:val="21"/>
              </w:rPr>
            </w:pPr>
            <w:r>
              <w:rPr>
                <w:rFonts w:ascii="Arial" w:hAnsi="Arial" w:cs="Arial"/>
                <w:color w:val="000000"/>
                <w:kern w:val="0"/>
                <w:szCs w:val="21"/>
              </w:rPr>
              <w:t>序号</w:t>
            </w:r>
          </w:p>
        </w:tc>
        <w:tc>
          <w:tcPr>
            <w:tcW w:w="1156" w:type="dxa"/>
            <w:tcBorders>
              <w:top w:val="single" w:color="auto" w:sz="4" w:space="0"/>
              <w:left w:val="nil"/>
              <w:bottom w:val="single" w:color="auto" w:sz="4" w:space="0"/>
              <w:right w:val="single" w:color="auto" w:sz="4" w:space="0"/>
            </w:tcBorders>
            <w:noWrap w:val="0"/>
            <w:vAlign w:val="center"/>
          </w:tcPr>
          <w:p w14:paraId="15A4F6A8">
            <w:pPr>
              <w:widowControl/>
              <w:jc w:val="center"/>
              <w:rPr>
                <w:rFonts w:ascii="Arial" w:hAnsi="Arial" w:cs="Arial"/>
                <w:color w:val="000000"/>
                <w:kern w:val="0"/>
                <w:szCs w:val="21"/>
              </w:rPr>
            </w:pPr>
            <w:r>
              <w:rPr>
                <w:rFonts w:ascii="Arial" w:hAnsi="Arial" w:cs="Arial"/>
                <w:color w:val="000000"/>
                <w:kern w:val="0"/>
                <w:szCs w:val="21"/>
              </w:rPr>
              <w:t>项 目</w:t>
            </w:r>
          </w:p>
        </w:tc>
        <w:tc>
          <w:tcPr>
            <w:tcW w:w="2609" w:type="dxa"/>
            <w:tcBorders>
              <w:top w:val="single" w:color="auto" w:sz="4" w:space="0"/>
              <w:left w:val="nil"/>
              <w:bottom w:val="single" w:color="auto" w:sz="4" w:space="0"/>
              <w:right w:val="single" w:color="auto" w:sz="4" w:space="0"/>
            </w:tcBorders>
            <w:noWrap w:val="0"/>
            <w:vAlign w:val="center"/>
          </w:tcPr>
          <w:p w14:paraId="1B32D72C">
            <w:pPr>
              <w:widowControl/>
              <w:jc w:val="center"/>
              <w:rPr>
                <w:rFonts w:ascii="Arial" w:hAnsi="Arial" w:cs="Arial"/>
                <w:color w:val="000000"/>
                <w:kern w:val="0"/>
                <w:szCs w:val="21"/>
              </w:rPr>
            </w:pPr>
            <w:r>
              <w:rPr>
                <w:rFonts w:ascii="Arial" w:hAnsi="Arial" w:cs="Arial"/>
                <w:color w:val="000000"/>
                <w:kern w:val="0"/>
                <w:szCs w:val="21"/>
              </w:rPr>
              <w:t>规格</w:t>
            </w:r>
          </w:p>
        </w:tc>
        <w:tc>
          <w:tcPr>
            <w:tcW w:w="913" w:type="dxa"/>
            <w:tcBorders>
              <w:top w:val="single" w:color="auto" w:sz="4" w:space="0"/>
              <w:left w:val="nil"/>
              <w:bottom w:val="single" w:color="auto" w:sz="4" w:space="0"/>
              <w:right w:val="single" w:color="auto" w:sz="4" w:space="0"/>
            </w:tcBorders>
            <w:noWrap w:val="0"/>
            <w:vAlign w:val="center"/>
          </w:tcPr>
          <w:p w14:paraId="04685963">
            <w:pPr>
              <w:widowControl/>
              <w:jc w:val="center"/>
              <w:rPr>
                <w:rFonts w:ascii="Arial" w:hAnsi="Arial" w:cs="Arial"/>
                <w:color w:val="000000"/>
                <w:kern w:val="0"/>
                <w:szCs w:val="21"/>
              </w:rPr>
            </w:pPr>
            <w:r>
              <w:rPr>
                <w:rFonts w:ascii="Arial" w:hAnsi="Arial" w:cs="Arial"/>
                <w:color w:val="000000"/>
                <w:kern w:val="0"/>
                <w:szCs w:val="21"/>
              </w:rPr>
              <w:t>数量</w:t>
            </w:r>
          </w:p>
        </w:tc>
        <w:tc>
          <w:tcPr>
            <w:tcW w:w="850" w:type="dxa"/>
            <w:tcBorders>
              <w:top w:val="single" w:color="auto" w:sz="4" w:space="0"/>
              <w:left w:val="nil"/>
              <w:bottom w:val="single" w:color="auto" w:sz="4" w:space="0"/>
              <w:right w:val="single" w:color="auto" w:sz="4" w:space="0"/>
            </w:tcBorders>
            <w:noWrap w:val="0"/>
            <w:vAlign w:val="center"/>
          </w:tcPr>
          <w:p w14:paraId="05318C0A">
            <w:pPr>
              <w:widowControl/>
              <w:jc w:val="center"/>
              <w:rPr>
                <w:rFonts w:ascii="Arial" w:hAnsi="Arial" w:cs="Arial"/>
                <w:color w:val="000000"/>
                <w:kern w:val="0"/>
                <w:szCs w:val="21"/>
              </w:rPr>
            </w:pPr>
            <w:r>
              <w:rPr>
                <w:rFonts w:ascii="Arial" w:hAnsi="Arial" w:cs="Arial"/>
                <w:color w:val="000000"/>
                <w:kern w:val="0"/>
                <w:szCs w:val="21"/>
              </w:rPr>
              <w:t>单位</w:t>
            </w:r>
          </w:p>
        </w:tc>
        <w:tc>
          <w:tcPr>
            <w:tcW w:w="2694" w:type="dxa"/>
            <w:tcBorders>
              <w:top w:val="single" w:color="auto" w:sz="4" w:space="0"/>
              <w:left w:val="nil"/>
              <w:bottom w:val="single" w:color="auto" w:sz="4" w:space="0"/>
              <w:right w:val="single" w:color="auto" w:sz="4" w:space="0"/>
            </w:tcBorders>
            <w:noWrap w:val="0"/>
            <w:vAlign w:val="center"/>
          </w:tcPr>
          <w:p w14:paraId="67D9240F">
            <w:pPr>
              <w:widowControl/>
              <w:jc w:val="center"/>
              <w:rPr>
                <w:rFonts w:ascii="Arial" w:hAnsi="Arial" w:cs="Arial"/>
                <w:color w:val="000000"/>
                <w:kern w:val="0"/>
                <w:szCs w:val="21"/>
              </w:rPr>
            </w:pPr>
            <w:r>
              <w:rPr>
                <w:rFonts w:ascii="Arial" w:hAnsi="Arial" w:cs="Arial"/>
                <w:color w:val="000000"/>
                <w:kern w:val="0"/>
                <w:szCs w:val="21"/>
              </w:rPr>
              <w:t>备注</w:t>
            </w:r>
          </w:p>
        </w:tc>
      </w:tr>
      <w:tr w14:paraId="1C9C5EAD">
        <w:tblPrEx>
          <w:tblCellMar>
            <w:top w:w="0" w:type="dxa"/>
            <w:left w:w="108" w:type="dxa"/>
            <w:bottom w:w="0" w:type="dxa"/>
            <w:right w:w="108" w:type="dxa"/>
          </w:tblCellMar>
        </w:tblPrEx>
        <w:trPr>
          <w:trHeight w:val="702" w:hRule="atLeast"/>
        </w:trPr>
        <w:tc>
          <w:tcPr>
            <w:tcW w:w="724" w:type="dxa"/>
            <w:tcBorders>
              <w:top w:val="nil"/>
              <w:left w:val="single" w:color="auto" w:sz="4" w:space="0"/>
              <w:bottom w:val="single" w:color="auto" w:sz="4" w:space="0"/>
              <w:right w:val="single" w:color="auto" w:sz="4" w:space="0"/>
            </w:tcBorders>
            <w:noWrap w:val="0"/>
            <w:vAlign w:val="center"/>
          </w:tcPr>
          <w:p w14:paraId="67395909">
            <w:pPr>
              <w:widowControl/>
              <w:jc w:val="center"/>
              <w:rPr>
                <w:rFonts w:ascii="Arial" w:hAnsi="Arial" w:cs="Arial"/>
                <w:color w:val="000000"/>
                <w:kern w:val="0"/>
                <w:szCs w:val="21"/>
              </w:rPr>
            </w:pPr>
            <w:r>
              <w:rPr>
                <w:rFonts w:ascii="Arial" w:hAnsi="Arial" w:cs="Arial"/>
                <w:color w:val="000000"/>
                <w:kern w:val="0"/>
                <w:szCs w:val="21"/>
              </w:rPr>
              <w:t>1</w:t>
            </w:r>
          </w:p>
        </w:tc>
        <w:tc>
          <w:tcPr>
            <w:tcW w:w="1156" w:type="dxa"/>
            <w:tcBorders>
              <w:top w:val="nil"/>
              <w:left w:val="nil"/>
              <w:bottom w:val="single" w:color="auto" w:sz="4" w:space="0"/>
              <w:right w:val="single" w:color="auto" w:sz="4" w:space="0"/>
            </w:tcBorders>
            <w:noWrap w:val="0"/>
            <w:vAlign w:val="center"/>
          </w:tcPr>
          <w:p w14:paraId="52454D01">
            <w:pPr>
              <w:widowControl/>
              <w:jc w:val="left"/>
              <w:rPr>
                <w:rFonts w:ascii="Arial" w:hAnsi="Arial" w:cs="Arial"/>
                <w:color w:val="000000"/>
                <w:kern w:val="0"/>
                <w:szCs w:val="21"/>
              </w:rPr>
            </w:pPr>
            <w:r>
              <w:rPr>
                <w:rFonts w:ascii="Arial" w:hAnsi="Arial" w:cs="Arial"/>
                <w:color w:val="000000"/>
                <w:kern w:val="0"/>
                <w:szCs w:val="21"/>
              </w:rPr>
              <w:t>场地租金</w:t>
            </w:r>
          </w:p>
        </w:tc>
        <w:tc>
          <w:tcPr>
            <w:tcW w:w="2609" w:type="dxa"/>
            <w:tcBorders>
              <w:top w:val="nil"/>
              <w:left w:val="nil"/>
              <w:bottom w:val="single" w:color="auto" w:sz="4" w:space="0"/>
              <w:right w:val="single" w:color="auto" w:sz="4" w:space="0"/>
            </w:tcBorders>
            <w:noWrap w:val="0"/>
            <w:vAlign w:val="center"/>
          </w:tcPr>
          <w:p w14:paraId="1CFDC372">
            <w:pPr>
              <w:widowControl/>
              <w:jc w:val="left"/>
              <w:rPr>
                <w:rFonts w:ascii="宋体" w:hAnsi="宋体" w:cs="宋体"/>
                <w:color w:val="000000"/>
                <w:kern w:val="0"/>
                <w:szCs w:val="21"/>
              </w:rPr>
            </w:pPr>
            <w:r>
              <w:rPr>
                <w:rFonts w:hint="eastAsia" w:ascii="宋体" w:hAnsi="宋体" w:cs="宋体"/>
                <w:color w:val="000000"/>
                <w:kern w:val="0"/>
                <w:szCs w:val="21"/>
              </w:rPr>
              <w:t>3.14*23.9m*23.9m（半径）</w:t>
            </w:r>
          </w:p>
        </w:tc>
        <w:tc>
          <w:tcPr>
            <w:tcW w:w="913" w:type="dxa"/>
            <w:tcBorders>
              <w:top w:val="nil"/>
              <w:left w:val="nil"/>
              <w:bottom w:val="single" w:color="auto" w:sz="4" w:space="0"/>
              <w:right w:val="single" w:color="auto" w:sz="4" w:space="0"/>
            </w:tcBorders>
            <w:noWrap w:val="0"/>
            <w:vAlign w:val="center"/>
          </w:tcPr>
          <w:p w14:paraId="31287FBC">
            <w:pPr>
              <w:widowControl/>
              <w:jc w:val="center"/>
              <w:rPr>
                <w:rFonts w:ascii="Arial" w:hAnsi="Arial" w:cs="Arial"/>
                <w:color w:val="000000"/>
                <w:kern w:val="0"/>
                <w:szCs w:val="21"/>
              </w:rPr>
            </w:pPr>
            <w:r>
              <w:rPr>
                <w:rFonts w:ascii="Arial" w:hAnsi="Arial" w:cs="Arial"/>
                <w:color w:val="000000"/>
                <w:kern w:val="0"/>
                <w:szCs w:val="21"/>
              </w:rPr>
              <w:t>3</w:t>
            </w:r>
          </w:p>
        </w:tc>
        <w:tc>
          <w:tcPr>
            <w:tcW w:w="850" w:type="dxa"/>
            <w:tcBorders>
              <w:top w:val="nil"/>
              <w:left w:val="nil"/>
              <w:bottom w:val="single" w:color="auto" w:sz="4" w:space="0"/>
              <w:right w:val="single" w:color="auto" w:sz="4" w:space="0"/>
            </w:tcBorders>
            <w:noWrap w:val="0"/>
            <w:vAlign w:val="center"/>
          </w:tcPr>
          <w:p w14:paraId="11C7B8F2">
            <w:pPr>
              <w:widowControl/>
              <w:jc w:val="center"/>
              <w:rPr>
                <w:rFonts w:ascii="宋体" w:hAnsi="宋体" w:cs="宋体"/>
                <w:color w:val="000000"/>
                <w:kern w:val="0"/>
                <w:szCs w:val="21"/>
              </w:rPr>
            </w:pPr>
            <w:r>
              <w:rPr>
                <w:rFonts w:hint="eastAsia" w:ascii="宋体" w:hAnsi="宋体" w:cs="宋体"/>
                <w:color w:val="000000"/>
                <w:kern w:val="0"/>
                <w:szCs w:val="21"/>
              </w:rPr>
              <w:t>天</w:t>
            </w:r>
          </w:p>
        </w:tc>
        <w:tc>
          <w:tcPr>
            <w:tcW w:w="2694" w:type="dxa"/>
            <w:tcBorders>
              <w:top w:val="nil"/>
              <w:left w:val="nil"/>
              <w:bottom w:val="single" w:color="auto" w:sz="4" w:space="0"/>
              <w:right w:val="single" w:color="auto" w:sz="4" w:space="0"/>
            </w:tcBorders>
            <w:noWrap w:val="0"/>
            <w:vAlign w:val="center"/>
          </w:tcPr>
          <w:p w14:paraId="4302A52B">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一个大圆形场地，再加横跨12m长、宽4m的商贸街搭架门型桁架的场</w:t>
            </w:r>
          </w:p>
        </w:tc>
      </w:tr>
      <w:tr w14:paraId="0A5F58D3">
        <w:tblPrEx>
          <w:tblCellMar>
            <w:top w:w="0" w:type="dxa"/>
            <w:left w:w="108" w:type="dxa"/>
            <w:bottom w:w="0" w:type="dxa"/>
            <w:right w:w="108" w:type="dxa"/>
          </w:tblCellMar>
        </w:tblPrEx>
        <w:trPr>
          <w:trHeight w:val="1080" w:hRule="atLeast"/>
        </w:trPr>
        <w:tc>
          <w:tcPr>
            <w:tcW w:w="724" w:type="dxa"/>
            <w:tcBorders>
              <w:top w:val="nil"/>
              <w:left w:val="single" w:color="auto" w:sz="4" w:space="0"/>
              <w:bottom w:val="single" w:color="auto" w:sz="4" w:space="0"/>
              <w:right w:val="single" w:color="auto" w:sz="4" w:space="0"/>
            </w:tcBorders>
            <w:noWrap w:val="0"/>
            <w:vAlign w:val="center"/>
          </w:tcPr>
          <w:p w14:paraId="799C8502">
            <w:pPr>
              <w:widowControl/>
              <w:jc w:val="center"/>
              <w:rPr>
                <w:rFonts w:ascii="Arial" w:hAnsi="Arial" w:cs="Arial"/>
                <w:color w:val="000000"/>
                <w:kern w:val="0"/>
                <w:szCs w:val="21"/>
              </w:rPr>
            </w:pPr>
            <w:r>
              <w:rPr>
                <w:rFonts w:ascii="Arial" w:hAnsi="Arial" w:cs="Arial"/>
                <w:color w:val="000000"/>
                <w:kern w:val="0"/>
                <w:szCs w:val="21"/>
              </w:rPr>
              <w:t>2</w:t>
            </w:r>
          </w:p>
        </w:tc>
        <w:tc>
          <w:tcPr>
            <w:tcW w:w="1156" w:type="dxa"/>
            <w:tcBorders>
              <w:top w:val="nil"/>
              <w:left w:val="nil"/>
              <w:bottom w:val="single" w:color="auto" w:sz="4" w:space="0"/>
              <w:right w:val="single" w:color="auto" w:sz="4" w:space="0"/>
            </w:tcBorders>
            <w:noWrap w:val="0"/>
            <w:vAlign w:val="center"/>
          </w:tcPr>
          <w:p w14:paraId="09DB17D2">
            <w:pPr>
              <w:widowControl/>
              <w:jc w:val="left"/>
              <w:rPr>
                <w:rFonts w:ascii="Arial" w:hAnsi="Arial" w:cs="Arial"/>
                <w:color w:val="000000"/>
                <w:kern w:val="0"/>
                <w:szCs w:val="21"/>
              </w:rPr>
            </w:pPr>
            <w:r>
              <w:rPr>
                <w:rFonts w:ascii="Arial" w:hAnsi="Arial" w:cs="Arial"/>
                <w:color w:val="000000"/>
                <w:kern w:val="0"/>
                <w:szCs w:val="21"/>
              </w:rPr>
              <w:t>标准展位</w:t>
            </w:r>
          </w:p>
        </w:tc>
        <w:tc>
          <w:tcPr>
            <w:tcW w:w="2609" w:type="dxa"/>
            <w:tcBorders>
              <w:top w:val="nil"/>
              <w:left w:val="nil"/>
              <w:bottom w:val="single" w:color="auto" w:sz="4" w:space="0"/>
              <w:right w:val="single" w:color="auto" w:sz="4" w:space="0"/>
            </w:tcBorders>
            <w:noWrap w:val="0"/>
            <w:vAlign w:val="center"/>
          </w:tcPr>
          <w:p w14:paraId="14108CF9">
            <w:pPr>
              <w:widowControl/>
              <w:jc w:val="left"/>
              <w:rPr>
                <w:rFonts w:ascii="Arial" w:hAnsi="Arial" w:cs="Arial"/>
                <w:color w:val="000000"/>
                <w:kern w:val="0"/>
                <w:szCs w:val="21"/>
              </w:rPr>
            </w:pPr>
            <w:r>
              <w:rPr>
                <w:rFonts w:ascii="Arial" w:hAnsi="Arial" w:cs="Arial"/>
                <w:color w:val="000000"/>
                <w:kern w:val="0"/>
                <w:szCs w:val="21"/>
              </w:rPr>
              <w:t>3*3,</w:t>
            </w:r>
            <w:r>
              <w:rPr>
                <w:rFonts w:hint="eastAsia" w:ascii="宋体" w:hAnsi="宋体" w:cs="Arial"/>
                <w:color w:val="000000"/>
                <w:kern w:val="0"/>
                <w:szCs w:val="21"/>
              </w:rPr>
              <w:t>带顶部、背景、摆货台、门头全包</w:t>
            </w:r>
          </w:p>
        </w:tc>
        <w:tc>
          <w:tcPr>
            <w:tcW w:w="913" w:type="dxa"/>
            <w:tcBorders>
              <w:top w:val="nil"/>
              <w:left w:val="nil"/>
              <w:bottom w:val="single" w:color="auto" w:sz="4" w:space="0"/>
              <w:right w:val="single" w:color="auto" w:sz="4" w:space="0"/>
            </w:tcBorders>
            <w:noWrap w:val="0"/>
            <w:vAlign w:val="center"/>
          </w:tcPr>
          <w:p w14:paraId="7D4EE283">
            <w:pPr>
              <w:widowControl/>
              <w:jc w:val="center"/>
              <w:rPr>
                <w:rFonts w:ascii="Arial" w:hAnsi="Arial" w:cs="Arial"/>
                <w:color w:val="000000"/>
                <w:kern w:val="0"/>
                <w:szCs w:val="21"/>
              </w:rPr>
            </w:pPr>
            <w:r>
              <w:rPr>
                <w:rFonts w:ascii="Arial" w:hAnsi="Arial" w:cs="Arial"/>
                <w:color w:val="000000"/>
                <w:kern w:val="0"/>
                <w:szCs w:val="21"/>
              </w:rPr>
              <w:t>15</w:t>
            </w:r>
          </w:p>
        </w:tc>
        <w:tc>
          <w:tcPr>
            <w:tcW w:w="850" w:type="dxa"/>
            <w:tcBorders>
              <w:top w:val="nil"/>
              <w:left w:val="nil"/>
              <w:bottom w:val="single" w:color="auto" w:sz="4" w:space="0"/>
              <w:right w:val="single" w:color="auto" w:sz="4" w:space="0"/>
            </w:tcBorders>
            <w:noWrap w:val="0"/>
            <w:vAlign w:val="center"/>
          </w:tcPr>
          <w:p w14:paraId="6CB05400">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2694" w:type="dxa"/>
            <w:tcBorders>
              <w:top w:val="nil"/>
              <w:left w:val="nil"/>
              <w:bottom w:val="single" w:color="auto" w:sz="4" w:space="0"/>
              <w:right w:val="single" w:color="auto" w:sz="4" w:space="0"/>
            </w:tcBorders>
            <w:noWrap w:val="0"/>
            <w:vAlign w:val="center"/>
          </w:tcPr>
          <w:p w14:paraId="7888CED5">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摊位围档3m*1m*45个，招牌3m*0.8m*45个，大模板15张，桁架280m，灯15套，插线板15个，串灯260m，球形灯150m，桌布要135m</w:t>
            </w:r>
            <w:r>
              <w:rPr>
                <w:rFonts w:hint="eastAsia" w:ascii="宋体" w:hAnsi="宋体" w:cs="宋体"/>
                <w:color w:val="000000"/>
                <w:kern w:val="0"/>
                <w:szCs w:val="21"/>
                <w:lang w:val="en-US" w:eastAsia="zh-CN"/>
              </w:rPr>
              <w:t>²</w:t>
            </w:r>
            <w:r>
              <w:rPr>
                <w:rFonts w:hint="eastAsia" w:ascii="宋体" w:hAnsi="宋体" w:cs="宋体"/>
                <w:color w:val="000000"/>
                <w:kern w:val="0"/>
                <w:szCs w:val="21"/>
              </w:rPr>
              <w:t>等</w:t>
            </w:r>
          </w:p>
        </w:tc>
      </w:tr>
      <w:tr w14:paraId="4DC2F5AD">
        <w:tblPrEx>
          <w:tblCellMar>
            <w:top w:w="0" w:type="dxa"/>
            <w:left w:w="108" w:type="dxa"/>
            <w:bottom w:w="0" w:type="dxa"/>
            <w:right w:w="108" w:type="dxa"/>
          </w:tblCellMar>
        </w:tblPrEx>
        <w:trPr>
          <w:trHeight w:val="1422" w:hRule="atLeast"/>
        </w:trPr>
        <w:tc>
          <w:tcPr>
            <w:tcW w:w="724" w:type="dxa"/>
            <w:tcBorders>
              <w:top w:val="nil"/>
              <w:left w:val="single" w:color="auto" w:sz="4" w:space="0"/>
              <w:bottom w:val="single" w:color="auto" w:sz="4" w:space="0"/>
              <w:right w:val="single" w:color="auto" w:sz="4" w:space="0"/>
            </w:tcBorders>
            <w:noWrap w:val="0"/>
            <w:vAlign w:val="center"/>
          </w:tcPr>
          <w:p w14:paraId="213527E7">
            <w:pPr>
              <w:widowControl/>
              <w:jc w:val="center"/>
              <w:rPr>
                <w:rFonts w:ascii="Arial" w:hAnsi="Arial" w:cs="Arial"/>
                <w:color w:val="000000"/>
                <w:kern w:val="0"/>
                <w:szCs w:val="21"/>
              </w:rPr>
            </w:pPr>
            <w:r>
              <w:rPr>
                <w:rFonts w:ascii="Arial" w:hAnsi="Arial" w:cs="Arial"/>
                <w:color w:val="000000"/>
                <w:kern w:val="0"/>
                <w:szCs w:val="21"/>
              </w:rPr>
              <w:t>3</w:t>
            </w:r>
          </w:p>
        </w:tc>
        <w:tc>
          <w:tcPr>
            <w:tcW w:w="1156" w:type="dxa"/>
            <w:tcBorders>
              <w:top w:val="nil"/>
              <w:left w:val="nil"/>
              <w:bottom w:val="single" w:color="auto" w:sz="4" w:space="0"/>
              <w:right w:val="single" w:color="auto" w:sz="4" w:space="0"/>
            </w:tcBorders>
            <w:noWrap w:val="0"/>
            <w:vAlign w:val="center"/>
          </w:tcPr>
          <w:p w14:paraId="107A167F">
            <w:pPr>
              <w:widowControl/>
              <w:jc w:val="center"/>
              <w:rPr>
                <w:rFonts w:ascii="宋体" w:hAnsi="宋体" w:cs="宋体"/>
                <w:color w:val="000000"/>
                <w:kern w:val="0"/>
                <w:szCs w:val="21"/>
              </w:rPr>
            </w:pPr>
            <w:r>
              <w:rPr>
                <w:rFonts w:hint="eastAsia" w:ascii="宋体" w:hAnsi="宋体" w:cs="宋体"/>
                <w:color w:val="000000"/>
                <w:kern w:val="0"/>
                <w:szCs w:val="21"/>
              </w:rPr>
              <w:t>门型桁架</w:t>
            </w:r>
          </w:p>
        </w:tc>
        <w:tc>
          <w:tcPr>
            <w:tcW w:w="2609" w:type="dxa"/>
            <w:tcBorders>
              <w:top w:val="nil"/>
              <w:left w:val="nil"/>
              <w:bottom w:val="single" w:color="auto" w:sz="4" w:space="0"/>
              <w:right w:val="single" w:color="auto" w:sz="4" w:space="0"/>
            </w:tcBorders>
            <w:noWrap w:val="0"/>
            <w:vAlign w:val="center"/>
          </w:tcPr>
          <w:p w14:paraId="00A0E078">
            <w:pPr>
              <w:widowControl/>
              <w:jc w:val="left"/>
              <w:rPr>
                <w:rFonts w:ascii="Arial" w:hAnsi="Arial" w:cs="Arial"/>
                <w:color w:val="000000"/>
                <w:kern w:val="0"/>
                <w:szCs w:val="21"/>
              </w:rPr>
            </w:pPr>
            <w:r>
              <w:rPr>
                <w:rFonts w:ascii="Arial" w:hAnsi="Arial" w:cs="Arial"/>
                <w:color w:val="000000"/>
                <w:kern w:val="0"/>
                <w:szCs w:val="21"/>
              </w:rPr>
              <w:t>8.8m*1m*1m**1.2m*4.2m</w:t>
            </w:r>
          </w:p>
        </w:tc>
        <w:tc>
          <w:tcPr>
            <w:tcW w:w="913" w:type="dxa"/>
            <w:tcBorders>
              <w:top w:val="nil"/>
              <w:left w:val="nil"/>
              <w:bottom w:val="single" w:color="auto" w:sz="4" w:space="0"/>
              <w:right w:val="single" w:color="auto" w:sz="4" w:space="0"/>
            </w:tcBorders>
            <w:noWrap w:val="0"/>
            <w:vAlign w:val="center"/>
          </w:tcPr>
          <w:p w14:paraId="0D6AE340">
            <w:pPr>
              <w:widowControl/>
              <w:jc w:val="center"/>
              <w:rPr>
                <w:rFonts w:ascii="Arial" w:hAnsi="Arial" w:cs="Arial"/>
                <w:color w:val="000000"/>
                <w:kern w:val="0"/>
                <w:szCs w:val="21"/>
              </w:rPr>
            </w:pPr>
            <w:r>
              <w:rPr>
                <w:rFonts w:ascii="Arial" w:hAnsi="Arial" w:cs="Arial"/>
                <w:color w:val="000000"/>
                <w:kern w:val="0"/>
                <w:szCs w:val="21"/>
              </w:rPr>
              <w:t>1</w:t>
            </w:r>
          </w:p>
        </w:tc>
        <w:tc>
          <w:tcPr>
            <w:tcW w:w="850" w:type="dxa"/>
            <w:tcBorders>
              <w:top w:val="nil"/>
              <w:left w:val="nil"/>
              <w:bottom w:val="single" w:color="auto" w:sz="4" w:space="0"/>
              <w:right w:val="single" w:color="auto" w:sz="4" w:space="0"/>
            </w:tcBorders>
            <w:noWrap w:val="0"/>
            <w:vAlign w:val="center"/>
          </w:tcPr>
          <w:p w14:paraId="40ADB3FD">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2694" w:type="dxa"/>
            <w:tcBorders>
              <w:top w:val="nil"/>
              <w:left w:val="nil"/>
              <w:bottom w:val="single" w:color="auto" w:sz="4" w:space="0"/>
              <w:right w:val="single" w:color="auto" w:sz="4" w:space="0"/>
            </w:tcBorders>
            <w:noWrap w:val="0"/>
            <w:vAlign w:val="center"/>
          </w:tcPr>
          <w:p w14:paraId="3DA0F53E">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两边立柱1m*1m见方，高3m，中间横梁横梁8.8m（长）*1m（厚）*1.2m（高），两边立柱箱体造型做成灯箱亮灯（双面），而且要安装射灯，横梁双面造型，四边都要安装灯带，横梁上要安装射灯照射横梁画面</w:t>
            </w:r>
          </w:p>
        </w:tc>
      </w:tr>
      <w:tr w14:paraId="6426836F">
        <w:tblPrEx>
          <w:tblCellMar>
            <w:top w:w="0" w:type="dxa"/>
            <w:left w:w="108" w:type="dxa"/>
            <w:bottom w:w="0" w:type="dxa"/>
            <w:right w:w="108" w:type="dxa"/>
          </w:tblCellMar>
        </w:tblPrEx>
        <w:trPr>
          <w:trHeight w:val="702" w:hRule="atLeast"/>
        </w:trPr>
        <w:tc>
          <w:tcPr>
            <w:tcW w:w="724" w:type="dxa"/>
            <w:tcBorders>
              <w:top w:val="nil"/>
              <w:left w:val="single" w:color="auto" w:sz="4" w:space="0"/>
              <w:bottom w:val="single" w:color="auto" w:sz="4" w:space="0"/>
              <w:right w:val="single" w:color="auto" w:sz="4" w:space="0"/>
            </w:tcBorders>
            <w:noWrap w:val="0"/>
            <w:vAlign w:val="center"/>
          </w:tcPr>
          <w:p w14:paraId="3A7648A0">
            <w:pPr>
              <w:widowControl/>
              <w:jc w:val="center"/>
              <w:rPr>
                <w:rFonts w:ascii="Arial" w:hAnsi="Arial" w:cs="Arial"/>
                <w:color w:val="000000"/>
                <w:kern w:val="0"/>
                <w:szCs w:val="21"/>
              </w:rPr>
            </w:pPr>
            <w:r>
              <w:rPr>
                <w:rFonts w:ascii="Arial" w:hAnsi="Arial" w:cs="Arial"/>
                <w:color w:val="000000"/>
                <w:kern w:val="0"/>
                <w:szCs w:val="21"/>
              </w:rPr>
              <w:t>4</w:t>
            </w:r>
          </w:p>
        </w:tc>
        <w:tc>
          <w:tcPr>
            <w:tcW w:w="1156" w:type="dxa"/>
            <w:tcBorders>
              <w:top w:val="nil"/>
              <w:left w:val="nil"/>
              <w:bottom w:val="single" w:color="auto" w:sz="4" w:space="0"/>
              <w:right w:val="single" w:color="auto" w:sz="4" w:space="0"/>
            </w:tcBorders>
            <w:noWrap w:val="0"/>
            <w:vAlign w:val="center"/>
          </w:tcPr>
          <w:p w14:paraId="338618CA">
            <w:pPr>
              <w:widowControl/>
              <w:jc w:val="center"/>
              <w:rPr>
                <w:rFonts w:ascii="Arial" w:hAnsi="Arial" w:cs="Arial"/>
                <w:color w:val="000000"/>
                <w:kern w:val="0"/>
                <w:szCs w:val="21"/>
              </w:rPr>
            </w:pPr>
            <w:r>
              <w:rPr>
                <w:rFonts w:ascii="Arial" w:hAnsi="Arial" w:cs="Arial"/>
                <w:color w:val="000000"/>
                <w:kern w:val="0"/>
                <w:szCs w:val="21"/>
              </w:rPr>
              <w:t>打卡点</w:t>
            </w:r>
          </w:p>
        </w:tc>
        <w:tc>
          <w:tcPr>
            <w:tcW w:w="2609" w:type="dxa"/>
            <w:tcBorders>
              <w:top w:val="nil"/>
              <w:left w:val="nil"/>
              <w:bottom w:val="single" w:color="auto" w:sz="4" w:space="0"/>
              <w:right w:val="single" w:color="auto" w:sz="4" w:space="0"/>
            </w:tcBorders>
            <w:noWrap w:val="0"/>
            <w:vAlign w:val="center"/>
          </w:tcPr>
          <w:p w14:paraId="7F4EF836">
            <w:pPr>
              <w:widowControl/>
              <w:jc w:val="left"/>
              <w:rPr>
                <w:rFonts w:ascii="Arial" w:hAnsi="Arial" w:cs="Arial"/>
                <w:color w:val="000000"/>
                <w:kern w:val="0"/>
                <w:szCs w:val="21"/>
              </w:rPr>
            </w:pPr>
            <w:r>
              <w:rPr>
                <w:rFonts w:ascii="Arial" w:hAnsi="Arial" w:cs="Arial"/>
                <w:color w:val="000000"/>
                <w:kern w:val="0"/>
                <w:szCs w:val="21"/>
              </w:rPr>
              <w:t xml:space="preserve">4*0.8m*2.5m,PVC </w:t>
            </w:r>
            <w:r>
              <w:rPr>
                <w:rFonts w:hint="eastAsia" w:ascii="宋体" w:hAnsi="宋体" w:cs="Arial"/>
                <w:color w:val="000000"/>
                <w:kern w:val="0"/>
                <w:szCs w:val="21"/>
              </w:rPr>
              <w:t>造型打卡</w:t>
            </w:r>
          </w:p>
        </w:tc>
        <w:tc>
          <w:tcPr>
            <w:tcW w:w="913" w:type="dxa"/>
            <w:tcBorders>
              <w:top w:val="nil"/>
              <w:left w:val="nil"/>
              <w:bottom w:val="single" w:color="auto" w:sz="4" w:space="0"/>
              <w:right w:val="single" w:color="auto" w:sz="4" w:space="0"/>
            </w:tcBorders>
            <w:noWrap w:val="0"/>
            <w:vAlign w:val="center"/>
          </w:tcPr>
          <w:p w14:paraId="283D7CF1">
            <w:pPr>
              <w:widowControl/>
              <w:jc w:val="center"/>
              <w:rPr>
                <w:rFonts w:ascii="Arial" w:hAnsi="Arial" w:cs="Arial"/>
                <w:color w:val="000000"/>
                <w:kern w:val="0"/>
                <w:szCs w:val="21"/>
              </w:rPr>
            </w:pPr>
            <w:r>
              <w:rPr>
                <w:rFonts w:ascii="Arial" w:hAnsi="Arial" w:cs="Arial"/>
                <w:color w:val="000000"/>
                <w:kern w:val="0"/>
                <w:szCs w:val="21"/>
              </w:rPr>
              <w:t>1</w:t>
            </w:r>
          </w:p>
        </w:tc>
        <w:tc>
          <w:tcPr>
            <w:tcW w:w="850" w:type="dxa"/>
            <w:tcBorders>
              <w:top w:val="nil"/>
              <w:left w:val="nil"/>
              <w:bottom w:val="single" w:color="auto" w:sz="4" w:space="0"/>
              <w:right w:val="single" w:color="auto" w:sz="4" w:space="0"/>
            </w:tcBorders>
            <w:noWrap w:val="0"/>
            <w:vAlign w:val="center"/>
          </w:tcPr>
          <w:p w14:paraId="2E8F2EF2">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2694" w:type="dxa"/>
            <w:tcBorders>
              <w:top w:val="nil"/>
              <w:left w:val="nil"/>
              <w:bottom w:val="single" w:color="auto" w:sz="4" w:space="0"/>
              <w:right w:val="single" w:color="auto" w:sz="4" w:space="0"/>
            </w:tcBorders>
            <w:noWrap w:val="0"/>
            <w:vAlign w:val="center"/>
          </w:tcPr>
          <w:p w14:paraId="485E8ED1">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包括桁架、1cm-2cmPVC雕刻UV等材料</w:t>
            </w:r>
          </w:p>
        </w:tc>
      </w:tr>
      <w:tr w14:paraId="3283F8F0">
        <w:tblPrEx>
          <w:tblCellMar>
            <w:top w:w="0" w:type="dxa"/>
            <w:left w:w="108" w:type="dxa"/>
            <w:bottom w:w="0" w:type="dxa"/>
            <w:right w:w="108" w:type="dxa"/>
          </w:tblCellMar>
        </w:tblPrEx>
        <w:trPr>
          <w:trHeight w:val="702" w:hRule="atLeast"/>
        </w:trPr>
        <w:tc>
          <w:tcPr>
            <w:tcW w:w="724" w:type="dxa"/>
            <w:tcBorders>
              <w:top w:val="nil"/>
              <w:left w:val="single" w:color="auto" w:sz="4" w:space="0"/>
              <w:bottom w:val="single" w:color="auto" w:sz="4" w:space="0"/>
              <w:right w:val="single" w:color="auto" w:sz="4" w:space="0"/>
            </w:tcBorders>
            <w:noWrap w:val="0"/>
            <w:vAlign w:val="center"/>
          </w:tcPr>
          <w:p w14:paraId="14110B1E">
            <w:pPr>
              <w:widowControl/>
              <w:jc w:val="center"/>
              <w:rPr>
                <w:rFonts w:ascii="Arial" w:hAnsi="Arial" w:cs="Arial"/>
                <w:color w:val="000000"/>
                <w:kern w:val="0"/>
                <w:szCs w:val="21"/>
              </w:rPr>
            </w:pPr>
            <w:r>
              <w:rPr>
                <w:rFonts w:ascii="Arial" w:hAnsi="Arial" w:cs="Arial"/>
                <w:color w:val="000000"/>
                <w:kern w:val="0"/>
                <w:szCs w:val="21"/>
              </w:rPr>
              <w:t>5</w:t>
            </w:r>
          </w:p>
        </w:tc>
        <w:tc>
          <w:tcPr>
            <w:tcW w:w="1156" w:type="dxa"/>
            <w:tcBorders>
              <w:top w:val="nil"/>
              <w:left w:val="nil"/>
              <w:bottom w:val="single" w:color="auto" w:sz="4" w:space="0"/>
              <w:right w:val="single" w:color="auto" w:sz="4" w:space="0"/>
            </w:tcBorders>
            <w:noWrap w:val="0"/>
            <w:vAlign w:val="center"/>
          </w:tcPr>
          <w:p w14:paraId="40D694EB">
            <w:pPr>
              <w:widowControl/>
              <w:jc w:val="center"/>
              <w:rPr>
                <w:rFonts w:ascii="Arial" w:hAnsi="Arial" w:cs="Arial"/>
                <w:color w:val="000000"/>
                <w:kern w:val="0"/>
                <w:szCs w:val="21"/>
              </w:rPr>
            </w:pPr>
            <w:r>
              <w:rPr>
                <w:rFonts w:ascii="Arial" w:hAnsi="Arial" w:cs="Arial"/>
                <w:color w:val="000000"/>
                <w:kern w:val="0"/>
                <w:szCs w:val="21"/>
              </w:rPr>
              <w:t>展区灯带</w:t>
            </w:r>
          </w:p>
        </w:tc>
        <w:tc>
          <w:tcPr>
            <w:tcW w:w="2609" w:type="dxa"/>
            <w:tcBorders>
              <w:top w:val="nil"/>
              <w:left w:val="nil"/>
              <w:bottom w:val="single" w:color="auto" w:sz="4" w:space="0"/>
              <w:right w:val="single" w:color="auto" w:sz="4" w:space="0"/>
            </w:tcBorders>
            <w:noWrap w:val="0"/>
            <w:vAlign w:val="center"/>
          </w:tcPr>
          <w:p w14:paraId="0DC67D77">
            <w:pPr>
              <w:widowControl/>
              <w:jc w:val="left"/>
              <w:rPr>
                <w:rFonts w:ascii="Arial" w:hAnsi="Arial" w:cs="Arial"/>
                <w:color w:val="000000"/>
                <w:kern w:val="0"/>
                <w:szCs w:val="21"/>
              </w:rPr>
            </w:pPr>
            <w:r>
              <w:rPr>
                <w:rFonts w:ascii="Arial" w:hAnsi="Arial" w:cs="Arial"/>
                <w:color w:val="000000"/>
                <w:kern w:val="0"/>
                <w:szCs w:val="21"/>
              </w:rPr>
              <w:t>装饰灯条</w:t>
            </w:r>
          </w:p>
        </w:tc>
        <w:tc>
          <w:tcPr>
            <w:tcW w:w="913" w:type="dxa"/>
            <w:tcBorders>
              <w:top w:val="nil"/>
              <w:left w:val="nil"/>
              <w:bottom w:val="single" w:color="auto" w:sz="4" w:space="0"/>
              <w:right w:val="single" w:color="auto" w:sz="4" w:space="0"/>
            </w:tcBorders>
            <w:noWrap w:val="0"/>
            <w:vAlign w:val="center"/>
          </w:tcPr>
          <w:p w14:paraId="6FD88DCD">
            <w:pPr>
              <w:widowControl/>
              <w:jc w:val="center"/>
              <w:rPr>
                <w:rFonts w:hint="default" w:ascii="Arial" w:hAnsi="Arial" w:eastAsia="宋体" w:cs="Arial"/>
                <w:color w:val="000000"/>
                <w:kern w:val="0"/>
                <w:szCs w:val="21"/>
                <w:lang w:val="en-US" w:eastAsia="zh-CN"/>
              </w:rPr>
            </w:pPr>
            <w:r>
              <w:rPr>
                <w:rFonts w:hint="eastAsia" w:ascii="Arial" w:hAnsi="Arial" w:cs="Arial"/>
                <w:color w:val="000000"/>
                <w:kern w:val="0"/>
                <w:szCs w:val="21"/>
                <w:lang w:val="en-US" w:eastAsia="zh-CN"/>
              </w:rPr>
              <w:t>150</w:t>
            </w:r>
          </w:p>
        </w:tc>
        <w:tc>
          <w:tcPr>
            <w:tcW w:w="850" w:type="dxa"/>
            <w:tcBorders>
              <w:top w:val="nil"/>
              <w:left w:val="nil"/>
              <w:bottom w:val="single" w:color="auto" w:sz="4" w:space="0"/>
              <w:right w:val="single" w:color="auto" w:sz="4" w:space="0"/>
            </w:tcBorders>
            <w:noWrap w:val="0"/>
            <w:vAlign w:val="center"/>
          </w:tcPr>
          <w:p w14:paraId="3D918567">
            <w:pPr>
              <w:widowControl/>
              <w:jc w:val="center"/>
              <w:rPr>
                <w:rFonts w:ascii="宋体" w:hAnsi="宋体" w:cs="宋体"/>
                <w:color w:val="000000"/>
                <w:kern w:val="0"/>
                <w:szCs w:val="21"/>
              </w:rPr>
            </w:pPr>
            <w:r>
              <w:rPr>
                <w:rFonts w:hint="eastAsia" w:ascii="宋体" w:hAnsi="宋体" w:cs="宋体"/>
                <w:color w:val="000000"/>
                <w:kern w:val="0"/>
                <w:szCs w:val="21"/>
              </w:rPr>
              <w:t>米</w:t>
            </w:r>
          </w:p>
        </w:tc>
        <w:tc>
          <w:tcPr>
            <w:tcW w:w="2694" w:type="dxa"/>
            <w:tcBorders>
              <w:top w:val="nil"/>
              <w:left w:val="nil"/>
              <w:bottom w:val="single" w:color="auto" w:sz="4" w:space="0"/>
              <w:right w:val="single" w:color="auto" w:sz="4" w:space="0"/>
            </w:tcBorders>
            <w:noWrap w:val="0"/>
            <w:vAlign w:val="center"/>
          </w:tcPr>
          <w:p w14:paraId="5B81B739">
            <w:pPr>
              <w:widowControl/>
              <w:jc w:val="left"/>
              <w:rPr>
                <w:rFonts w:ascii="宋体" w:hAnsi="宋体" w:cs="宋体"/>
                <w:color w:val="000000"/>
                <w:kern w:val="0"/>
                <w:szCs w:val="21"/>
              </w:rPr>
            </w:pPr>
            <w:r>
              <w:rPr>
                <w:rFonts w:hint="eastAsia" w:ascii="宋体" w:hAnsi="宋体" w:cs="宋体"/>
                <w:color w:val="000000"/>
                <w:kern w:val="0"/>
                <w:szCs w:val="21"/>
              </w:rPr>
              <w:t>　</w:t>
            </w:r>
          </w:p>
        </w:tc>
      </w:tr>
      <w:tr w14:paraId="5D3DDC59">
        <w:tblPrEx>
          <w:tblCellMar>
            <w:top w:w="0" w:type="dxa"/>
            <w:left w:w="108" w:type="dxa"/>
            <w:bottom w:w="0" w:type="dxa"/>
            <w:right w:w="108" w:type="dxa"/>
          </w:tblCellMar>
        </w:tblPrEx>
        <w:trPr>
          <w:trHeight w:val="702" w:hRule="atLeast"/>
        </w:trPr>
        <w:tc>
          <w:tcPr>
            <w:tcW w:w="724" w:type="dxa"/>
            <w:tcBorders>
              <w:top w:val="nil"/>
              <w:left w:val="single" w:color="auto" w:sz="4" w:space="0"/>
              <w:bottom w:val="single" w:color="auto" w:sz="4" w:space="0"/>
              <w:right w:val="single" w:color="auto" w:sz="4" w:space="0"/>
            </w:tcBorders>
            <w:noWrap w:val="0"/>
            <w:vAlign w:val="center"/>
          </w:tcPr>
          <w:p w14:paraId="1B157490">
            <w:pPr>
              <w:widowControl/>
              <w:jc w:val="center"/>
              <w:rPr>
                <w:rFonts w:ascii="Arial" w:hAnsi="Arial" w:cs="Arial"/>
                <w:color w:val="000000"/>
                <w:kern w:val="0"/>
                <w:szCs w:val="21"/>
              </w:rPr>
            </w:pPr>
            <w:r>
              <w:rPr>
                <w:rFonts w:ascii="Arial" w:hAnsi="Arial" w:cs="Arial"/>
                <w:color w:val="000000"/>
                <w:kern w:val="0"/>
                <w:szCs w:val="21"/>
              </w:rPr>
              <w:t>6</w:t>
            </w:r>
          </w:p>
        </w:tc>
        <w:tc>
          <w:tcPr>
            <w:tcW w:w="1156" w:type="dxa"/>
            <w:tcBorders>
              <w:top w:val="nil"/>
              <w:left w:val="nil"/>
              <w:bottom w:val="single" w:color="auto" w:sz="4" w:space="0"/>
              <w:right w:val="single" w:color="auto" w:sz="4" w:space="0"/>
            </w:tcBorders>
            <w:noWrap w:val="0"/>
            <w:vAlign w:val="center"/>
          </w:tcPr>
          <w:p w14:paraId="3B22287F">
            <w:pPr>
              <w:widowControl/>
              <w:jc w:val="center"/>
              <w:rPr>
                <w:rFonts w:ascii="Arial" w:hAnsi="Arial" w:cs="Arial"/>
                <w:color w:val="000000"/>
                <w:kern w:val="0"/>
                <w:szCs w:val="21"/>
              </w:rPr>
            </w:pPr>
            <w:r>
              <w:rPr>
                <w:rFonts w:ascii="Arial" w:hAnsi="Arial" w:cs="Arial"/>
                <w:color w:val="000000"/>
                <w:kern w:val="0"/>
                <w:szCs w:val="21"/>
              </w:rPr>
              <w:t>展位桌椅</w:t>
            </w:r>
          </w:p>
        </w:tc>
        <w:tc>
          <w:tcPr>
            <w:tcW w:w="2609" w:type="dxa"/>
            <w:tcBorders>
              <w:top w:val="nil"/>
              <w:left w:val="nil"/>
              <w:bottom w:val="single" w:color="auto" w:sz="4" w:space="0"/>
              <w:right w:val="single" w:color="auto" w:sz="4" w:space="0"/>
            </w:tcBorders>
            <w:noWrap w:val="0"/>
            <w:vAlign w:val="center"/>
          </w:tcPr>
          <w:p w14:paraId="01174F45">
            <w:pPr>
              <w:widowControl/>
              <w:jc w:val="left"/>
              <w:rPr>
                <w:rFonts w:ascii="Arial" w:hAnsi="Arial" w:cs="Arial"/>
                <w:color w:val="000000"/>
                <w:kern w:val="0"/>
                <w:szCs w:val="21"/>
              </w:rPr>
            </w:pPr>
            <w:r>
              <w:rPr>
                <w:rFonts w:ascii="Arial" w:hAnsi="Arial" w:cs="Arial"/>
                <w:color w:val="000000"/>
                <w:kern w:val="0"/>
                <w:szCs w:val="21"/>
              </w:rPr>
              <w:t>桌套</w:t>
            </w:r>
            <w:r>
              <w:rPr>
                <w:rFonts w:hint="eastAsia" w:ascii="Arial" w:hAnsi="Arial" w:cs="Arial"/>
                <w:color w:val="000000"/>
                <w:kern w:val="0"/>
                <w:szCs w:val="21"/>
                <w:lang w:eastAsia="zh-CN"/>
              </w:rPr>
              <w:t>、</w:t>
            </w:r>
            <w:r>
              <w:rPr>
                <w:rFonts w:ascii="Arial" w:hAnsi="Arial" w:cs="Arial"/>
                <w:color w:val="000000"/>
                <w:kern w:val="0"/>
                <w:szCs w:val="21"/>
              </w:rPr>
              <w:t>椅套</w:t>
            </w:r>
          </w:p>
        </w:tc>
        <w:tc>
          <w:tcPr>
            <w:tcW w:w="913" w:type="dxa"/>
            <w:tcBorders>
              <w:top w:val="nil"/>
              <w:left w:val="nil"/>
              <w:bottom w:val="single" w:color="auto" w:sz="4" w:space="0"/>
              <w:right w:val="single" w:color="auto" w:sz="4" w:space="0"/>
            </w:tcBorders>
            <w:noWrap w:val="0"/>
            <w:vAlign w:val="center"/>
          </w:tcPr>
          <w:p w14:paraId="709DDB02">
            <w:pPr>
              <w:widowControl/>
              <w:jc w:val="center"/>
              <w:rPr>
                <w:rFonts w:hint="default" w:ascii="Arial" w:hAnsi="Arial" w:eastAsia="宋体" w:cs="Arial"/>
                <w:color w:val="000000"/>
                <w:kern w:val="0"/>
                <w:szCs w:val="21"/>
                <w:lang w:val="en-US" w:eastAsia="zh-CN"/>
              </w:rPr>
            </w:pPr>
            <w:r>
              <w:rPr>
                <w:rFonts w:hint="eastAsia" w:ascii="Arial" w:hAnsi="Arial" w:cs="Arial"/>
                <w:color w:val="000000"/>
                <w:kern w:val="0"/>
                <w:szCs w:val="21"/>
                <w:lang w:val="en-US" w:eastAsia="zh-CN"/>
              </w:rPr>
              <w:t>70</w:t>
            </w:r>
          </w:p>
        </w:tc>
        <w:tc>
          <w:tcPr>
            <w:tcW w:w="850" w:type="dxa"/>
            <w:tcBorders>
              <w:top w:val="nil"/>
              <w:left w:val="nil"/>
              <w:bottom w:val="single" w:color="auto" w:sz="4" w:space="0"/>
              <w:right w:val="single" w:color="auto" w:sz="4" w:space="0"/>
            </w:tcBorders>
            <w:noWrap w:val="0"/>
            <w:vAlign w:val="center"/>
          </w:tcPr>
          <w:p w14:paraId="5EF86F72">
            <w:pPr>
              <w:widowControl/>
              <w:jc w:val="center"/>
              <w:rPr>
                <w:rFonts w:ascii="宋体" w:hAnsi="宋体" w:cs="宋体"/>
                <w:color w:val="000000"/>
                <w:kern w:val="0"/>
                <w:szCs w:val="21"/>
              </w:rPr>
            </w:pPr>
            <w:r>
              <w:rPr>
                <w:rFonts w:hint="eastAsia" w:ascii="宋体" w:hAnsi="宋体" w:cs="宋体"/>
                <w:color w:val="000000"/>
                <w:kern w:val="0"/>
                <w:szCs w:val="21"/>
              </w:rPr>
              <w:t>套</w:t>
            </w:r>
          </w:p>
        </w:tc>
        <w:tc>
          <w:tcPr>
            <w:tcW w:w="2694" w:type="dxa"/>
            <w:tcBorders>
              <w:top w:val="nil"/>
              <w:left w:val="nil"/>
              <w:bottom w:val="single" w:color="auto" w:sz="4" w:space="0"/>
              <w:right w:val="single" w:color="auto" w:sz="4" w:space="0"/>
            </w:tcBorders>
            <w:noWrap w:val="0"/>
            <w:vAlign w:val="center"/>
          </w:tcPr>
          <w:p w14:paraId="267A2005">
            <w:pPr>
              <w:widowControl/>
              <w:jc w:val="left"/>
              <w:rPr>
                <w:rFonts w:ascii="宋体" w:hAnsi="宋体" w:cs="宋体"/>
                <w:color w:val="000000"/>
                <w:kern w:val="0"/>
                <w:szCs w:val="21"/>
              </w:rPr>
            </w:pPr>
            <w:r>
              <w:rPr>
                <w:rFonts w:hint="eastAsia" w:ascii="宋体" w:hAnsi="宋体" w:cs="宋体"/>
                <w:color w:val="000000"/>
                <w:kern w:val="0"/>
                <w:szCs w:val="21"/>
              </w:rPr>
              <w:t>　</w:t>
            </w:r>
          </w:p>
        </w:tc>
      </w:tr>
      <w:tr w14:paraId="4C8FFB40">
        <w:tblPrEx>
          <w:tblCellMar>
            <w:top w:w="0" w:type="dxa"/>
            <w:left w:w="108" w:type="dxa"/>
            <w:bottom w:w="0" w:type="dxa"/>
            <w:right w:w="108" w:type="dxa"/>
          </w:tblCellMar>
        </w:tblPrEx>
        <w:trPr>
          <w:trHeight w:val="702" w:hRule="atLeast"/>
        </w:trPr>
        <w:tc>
          <w:tcPr>
            <w:tcW w:w="724" w:type="dxa"/>
            <w:tcBorders>
              <w:top w:val="nil"/>
              <w:left w:val="single" w:color="auto" w:sz="4" w:space="0"/>
              <w:bottom w:val="nil"/>
              <w:right w:val="single" w:color="auto" w:sz="4" w:space="0"/>
            </w:tcBorders>
            <w:noWrap w:val="0"/>
            <w:vAlign w:val="center"/>
          </w:tcPr>
          <w:p w14:paraId="38359400">
            <w:pPr>
              <w:widowControl/>
              <w:jc w:val="center"/>
              <w:rPr>
                <w:rFonts w:ascii="Arial" w:hAnsi="Arial" w:cs="Arial"/>
                <w:color w:val="000000"/>
                <w:kern w:val="0"/>
                <w:szCs w:val="21"/>
              </w:rPr>
            </w:pPr>
            <w:r>
              <w:rPr>
                <w:rFonts w:ascii="Arial" w:hAnsi="Arial" w:cs="Arial"/>
                <w:color w:val="000000"/>
                <w:kern w:val="0"/>
                <w:szCs w:val="21"/>
              </w:rPr>
              <w:t>7</w:t>
            </w:r>
          </w:p>
        </w:tc>
        <w:tc>
          <w:tcPr>
            <w:tcW w:w="1156" w:type="dxa"/>
            <w:tcBorders>
              <w:top w:val="nil"/>
              <w:left w:val="nil"/>
              <w:bottom w:val="nil"/>
              <w:right w:val="single" w:color="auto" w:sz="4" w:space="0"/>
            </w:tcBorders>
            <w:noWrap w:val="0"/>
            <w:vAlign w:val="center"/>
          </w:tcPr>
          <w:p w14:paraId="6A90CA48">
            <w:pPr>
              <w:widowControl/>
              <w:jc w:val="center"/>
              <w:rPr>
                <w:rFonts w:ascii="Arial" w:hAnsi="Arial" w:cs="Arial"/>
                <w:color w:val="000000"/>
                <w:kern w:val="0"/>
                <w:szCs w:val="21"/>
              </w:rPr>
            </w:pPr>
            <w:r>
              <w:rPr>
                <w:rFonts w:ascii="Arial" w:hAnsi="Arial" w:cs="Arial"/>
                <w:color w:val="000000"/>
                <w:kern w:val="0"/>
                <w:szCs w:val="21"/>
              </w:rPr>
              <w:t>清洁费</w:t>
            </w:r>
          </w:p>
        </w:tc>
        <w:tc>
          <w:tcPr>
            <w:tcW w:w="2609" w:type="dxa"/>
            <w:tcBorders>
              <w:top w:val="nil"/>
              <w:left w:val="nil"/>
              <w:bottom w:val="nil"/>
              <w:right w:val="single" w:color="auto" w:sz="4" w:space="0"/>
            </w:tcBorders>
            <w:noWrap w:val="0"/>
            <w:vAlign w:val="center"/>
          </w:tcPr>
          <w:p w14:paraId="49DFC9FD">
            <w:pPr>
              <w:widowControl/>
              <w:jc w:val="left"/>
              <w:rPr>
                <w:rFonts w:ascii="Arial" w:hAnsi="Arial" w:cs="Arial"/>
                <w:color w:val="000000"/>
                <w:kern w:val="0"/>
                <w:szCs w:val="21"/>
              </w:rPr>
            </w:pPr>
            <w:r>
              <w:rPr>
                <w:rFonts w:ascii="Arial" w:hAnsi="Arial" w:cs="Arial"/>
                <w:color w:val="000000"/>
                <w:kern w:val="0"/>
                <w:szCs w:val="21"/>
              </w:rPr>
              <w:t>展区清洁及垃圾清运</w:t>
            </w:r>
          </w:p>
        </w:tc>
        <w:tc>
          <w:tcPr>
            <w:tcW w:w="913" w:type="dxa"/>
            <w:tcBorders>
              <w:top w:val="nil"/>
              <w:left w:val="nil"/>
              <w:bottom w:val="nil"/>
              <w:right w:val="single" w:color="auto" w:sz="4" w:space="0"/>
            </w:tcBorders>
            <w:noWrap w:val="0"/>
            <w:vAlign w:val="center"/>
          </w:tcPr>
          <w:p w14:paraId="1E538D68">
            <w:pPr>
              <w:widowControl/>
              <w:jc w:val="center"/>
              <w:rPr>
                <w:rFonts w:ascii="Arial" w:hAnsi="Arial" w:cs="Arial"/>
                <w:color w:val="000000"/>
                <w:kern w:val="0"/>
                <w:szCs w:val="21"/>
              </w:rPr>
            </w:pPr>
            <w:r>
              <w:rPr>
                <w:rFonts w:ascii="Arial" w:hAnsi="Arial" w:cs="Arial"/>
                <w:color w:val="000000"/>
                <w:kern w:val="0"/>
                <w:szCs w:val="21"/>
              </w:rPr>
              <w:t>1</w:t>
            </w:r>
          </w:p>
        </w:tc>
        <w:tc>
          <w:tcPr>
            <w:tcW w:w="850" w:type="dxa"/>
            <w:tcBorders>
              <w:top w:val="nil"/>
              <w:left w:val="nil"/>
              <w:bottom w:val="nil"/>
              <w:right w:val="single" w:color="auto" w:sz="4" w:space="0"/>
            </w:tcBorders>
            <w:noWrap w:val="0"/>
            <w:vAlign w:val="center"/>
          </w:tcPr>
          <w:p w14:paraId="4858A6B3">
            <w:pPr>
              <w:widowControl/>
              <w:jc w:val="center"/>
              <w:rPr>
                <w:rFonts w:ascii="宋体" w:hAnsi="宋体" w:cs="宋体"/>
                <w:color w:val="000000"/>
                <w:kern w:val="0"/>
                <w:szCs w:val="21"/>
              </w:rPr>
            </w:pPr>
            <w:r>
              <w:rPr>
                <w:rFonts w:hint="eastAsia" w:ascii="宋体" w:hAnsi="宋体" w:cs="宋体"/>
                <w:color w:val="000000"/>
                <w:kern w:val="0"/>
                <w:szCs w:val="21"/>
              </w:rPr>
              <w:t>项</w:t>
            </w:r>
          </w:p>
        </w:tc>
        <w:tc>
          <w:tcPr>
            <w:tcW w:w="2694" w:type="dxa"/>
            <w:tcBorders>
              <w:top w:val="nil"/>
              <w:left w:val="nil"/>
              <w:bottom w:val="nil"/>
              <w:right w:val="single" w:color="auto" w:sz="4" w:space="0"/>
            </w:tcBorders>
            <w:noWrap w:val="0"/>
            <w:vAlign w:val="center"/>
          </w:tcPr>
          <w:p w14:paraId="021C39CB">
            <w:pPr>
              <w:widowControl/>
              <w:jc w:val="left"/>
              <w:rPr>
                <w:rFonts w:ascii="宋体" w:hAnsi="宋体" w:cs="宋体"/>
                <w:color w:val="000000"/>
                <w:kern w:val="0"/>
                <w:szCs w:val="21"/>
              </w:rPr>
            </w:pPr>
            <w:r>
              <w:rPr>
                <w:rFonts w:hint="eastAsia" w:ascii="宋体" w:hAnsi="宋体" w:cs="宋体"/>
                <w:color w:val="000000"/>
                <w:kern w:val="0"/>
                <w:szCs w:val="21"/>
              </w:rPr>
              <w:t>　</w:t>
            </w:r>
          </w:p>
        </w:tc>
      </w:tr>
      <w:tr w14:paraId="4FC87F13">
        <w:tblPrEx>
          <w:tblCellMar>
            <w:top w:w="0" w:type="dxa"/>
            <w:left w:w="108" w:type="dxa"/>
            <w:bottom w:w="0" w:type="dxa"/>
            <w:right w:w="108" w:type="dxa"/>
          </w:tblCellMar>
        </w:tblPrEx>
        <w:trPr>
          <w:trHeight w:val="702" w:hRule="atLeast"/>
        </w:trPr>
        <w:tc>
          <w:tcPr>
            <w:tcW w:w="724" w:type="dxa"/>
            <w:tcBorders>
              <w:top w:val="nil"/>
              <w:left w:val="single" w:color="auto" w:sz="4" w:space="0"/>
              <w:bottom w:val="nil"/>
              <w:right w:val="single" w:color="auto" w:sz="4" w:space="0"/>
            </w:tcBorders>
            <w:noWrap w:val="0"/>
            <w:vAlign w:val="center"/>
          </w:tcPr>
          <w:p w14:paraId="56E195A6">
            <w:pPr>
              <w:widowControl/>
              <w:jc w:val="center"/>
              <w:rPr>
                <w:rFonts w:hint="eastAsia" w:ascii="Arial" w:hAnsi="Arial" w:eastAsia="宋体" w:cs="Arial"/>
                <w:color w:val="000000"/>
                <w:kern w:val="0"/>
                <w:szCs w:val="21"/>
                <w:lang w:val="en-US" w:eastAsia="zh-CN"/>
              </w:rPr>
            </w:pPr>
            <w:r>
              <w:rPr>
                <w:rFonts w:hint="eastAsia" w:ascii="Arial" w:hAnsi="Arial" w:cs="Arial"/>
                <w:color w:val="000000"/>
                <w:kern w:val="0"/>
                <w:szCs w:val="21"/>
                <w:lang w:val="en-US" w:eastAsia="zh-CN"/>
              </w:rPr>
              <w:t>8</w:t>
            </w:r>
          </w:p>
        </w:tc>
        <w:tc>
          <w:tcPr>
            <w:tcW w:w="1156" w:type="dxa"/>
            <w:tcBorders>
              <w:top w:val="nil"/>
              <w:left w:val="nil"/>
              <w:bottom w:val="nil"/>
              <w:right w:val="single" w:color="auto" w:sz="4" w:space="0"/>
            </w:tcBorders>
            <w:noWrap w:val="0"/>
            <w:vAlign w:val="center"/>
          </w:tcPr>
          <w:p w14:paraId="7174836E">
            <w:pPr>
              <w:widowControl/>
              <w:jc w:val="center"/>
              <w:rPr>
                <w:rFonts w:hint="eastAsia" w:ascii="Arial" w:hAnsi="Arial" w:eastAsia="宋体" w:cs="Arial"/>
                <w:color w:val="000000"/>
                <w:kern w:val="0"/>
                <w:szCs w:val="21"/>
                <w:lang w:val="en-US" w:eastAsia="zh-CN"/>
              </w:rPr>
            </w:pPr>
            <w:r>
              <w:rPr>
                <w:rFonts w:hint="eastAsia" w:ascii="Arial" w:hAnsi="Arial" w:cs="Arial"/>
                <w:color w:val="000000"/>
                <w:kern w:val="0"/>
                <w:szCs w:val="21"/>
                <w:lang w:val="en-US" w:eastAsia="zh-CN"/>
              </w:rPr>
              <w:t>运费</w:t>
            </w:r>
          </w:p>
        </w:tc>
        <w:tc>
          <w:tcPr>
            <w:tcW w:w="2609" w:type="dxa"/>
            <w:tcBorders>
              <w:top w:val="nil"/>
              <w:left w:val="nil"/>
              <w:bottom w:val="nil"/>
              <w:right w:val="single" w:color="auto" w:sz="4" w:space="0"/>
            </w:tcBorders>
            <w:noWrap w:val="0"/>
            <w:vAlign w:val="center"/>
          </w:tcPr>
          <w:p w14:paraId="0D61228B">
            <w:pPr>
              <w:widowControl/>
              <w:jc w:val="left"/>
              <w:rPr>
                <w:rFonts w:hint="eastAsia" w:ascii="Arial" w:hAnsi="Arial" w:eastAsia="宋体" w:cs="Arial"/>
                <w:color w:val="000000"/>
                <w:kern w:val="0"/>
                <w:szCs w:val="21"/>
                <w:lang w:val="en-US" w:eastAsia="zh-CN"/>
              </w:rPr>
            </w:pPr>
            <w:r>
              <w:rPr>
                <w:rFonts w:hint="eastAsia" w:ascii="Arial" w:hAnsi="Arial" w:cs="Arial"/>
                <w:color w:val="000000"/>
                <w:kern w:val="0"/>
                <w:szCs w:val="21"/>
                <w:lang w:val="en-US" w:eastAsia="zh-CN"/>
              </w:rPr>
              <w:t>/</w:t>
            </w:r>
          </w:p>
        </w:tc>
        <w:tc>
          <w:tcPr>
            <w:tcW w:w="913" w:type="dxa"/>
            <w:tcBorders>
              <w:top w:val="nil"/>
              <w:left w:val="nil"/>
              <w:bottom w:val="nil"/>
              <w:right w:val="single" w:color="auto" w:sz="4" w:space="0"/>
            </w:tcBorders>
            <w:noWrap w:val="0"/>
            <w:vAlign w:val="center"/>
          </w:tcPr>
          <w:p w14:paraId="56217969">
            <w:pPr>
              <w:widowControl/>
              <w:jc w:val="center"/>
              <w:rPr>
                <w:rFonts w:ascii="Arial" w:hAnsi="Arial" w:cs="Arial"/>
                <w:color w:val="000000"/>
                <w:kern w:val="0"/>
                <w:szCs w:val="21"/>
              </w:rPr>
            </w:pPr>
          </w:p>
        </w:tc>
        <w:tc>
          <w:tcPr>
            <w:tcW w:w="850" w:type="dxa"/>
            <w:tcBorders>
              <w:top w:val="nil"/>
              <w:left w:val="nil"/>
              <w:bottom w:val="nil"/>
              <w:right w:val="single" w:color="auto" w:sz="4" w:space="0"/>
            </w:tcBorders>
            <w:noWrap w:val="0"/>
            <w:vAlign w:val="center"/>
          </w:tcPr>
          <w:p w14:paraId="5D115775">
            <w:pPr>
              <w:widowControl/>
              <w:jc w:val="center"/>
              <w:rPr>
                <w:rFonts w:hint="eastAsia" w:ascii="宋体" w:hAnsi="宋体" w:cs="宋体"/>
                <w:color w:val="000000"/>
                <w:kern w:val="0"/>
                <w:szCs w:val="21"/>
              </w:rPr>
            </w:pPr>
          </w:p>
        </w:tc>
        <w:tc>
          <w:tcPr>
            <w:tcW w:w="2694" w:type="dxa"/>
            <w:tcBorders>
              <w:top w:val="nil"/>
              <w:left w:val="nil"/>
              <w:bottom w:val="nil"/>
              <w:right w:val="single" w:color="auto" w:sz="4" w:space="0"/>
            </w:tcBorders>
            <w:noWrap w:val="0"/>
            <w:vAlign w:val="center"/>
          </w:tcPr>
          <w:p w14:paraId="7F071021">
            <w:pPr>
              <w:widowControl/>
              <w:jc w:val="left"/>
              <w:rPr>
                <w:rFonts w:hint="eastAsia" w:ascii="宋体" w:hAnsi="宋体" w:cs="宋体"/>
                <w:color w:val="000000"/>
                <w:kern w:val="0"/>
                <w:szCs w:val="21"/>
              </w:rPr>
            </w:pPr>
          </w:p>
        </w:tc>
      </w:tr>
      <w:tr w14:paraId="509FD982">
        <w:tblPrEx>
          <w:tblCellMar>
            <w:top w:w="0" w:type="dxa"/>
            <w:left w:w="108" w:type="dxa"/>
            <w:bottom w:w="0" w:type="dxa"/>
            <w:right w:w="108" w:type="dxa"/>
          </w:tblCellMar>
        </w:tblPrEx>
        <w:trPr>
          <w:trHeight w:val="702" w:hRule="atLeast"/>
        </w:trPr>
        <w:tc>
          <w:tcPr>
            <w:tcW w:w="724" w:type="dxa"/>
            <w:tcBorders>
              <w:top w:val="nil"/>
              <w:left w:val="single" w:color="auto" w:sz="4" w:space="0"/>
              <w:bottom w:val="nil"/>
              <w:right w:val="single" w:color="auto" w:sz="4" w:space="0"/>
            </w:tcBorders>
            <w:noWrap w:val="0"/>
            <w:vAlign w:val="center"/>
          </w:tcPr>
          <w:p w14:paraId="5E0F3407">
            <w:pPr>
              <w:widowControl/>
              <w:jc w:val="center"/>
              <w:rPr>
                <w:rFonts w:hint="default" w:ascii="Arial" w:hAnsi="Arial" w:cs="Arial"/>
                <w:color w:val="000000"/>
                <w:kern w:val="0"/>
                <w:szCs w:val="21"/>
                <w:lang w:val="en-US" w:eastAsia="zh-CN"/>
              </w:rPr>
            </w:pPr>
            <w:r>
              <w:rPr>
                <w:rFonts w:hint="eastAsia" w:ascii="Arial" w:hAnsi="Arial" w:cs="Arial"/>
                <w:color w:val="000000"/>
                <w:kern w:val="0"/>
                <w:szCs w:val="21"/>
                <w:lang w:val="en-US" w:eastAsia="zh-CN"/>
              </w:rPr>
              <w:t>9</w:t>
            </w:r>
          </w:p>
        </w:tc>
        <w:tc>
          <w:tcPr>
            <w:tcW w:w="1156" w:type="dxa"/>
            <w:tcBorders>
              <w:top w:val="nil"/>
              <w:left w:val="nil"/>
              <w:bottom w:val="nil"/>
              <w:right w:val="single" w:color="auto" w:sz="4" w:space="0"/>
            </w:tcBorders>
            <w:noWrap w:val="0"/>
            <w:vAlign w:val="center"/>
          </w:tcPr>
          <w:p w14:paraId="589D67D4">
            <w:pPr>
              <w:widowControl/>
              <w:jc w:val="center"/>
              <w:rPr>
                <w:rFonts w:hint="default" w:ascii="Arial" w:hAnsi="Arial" w:cs="Arial"/>
                <w:color w:val="000000"/>
                <w:kern w:val="0"/>
                <w:szCs w:val="21"/>
                <w:lang w:val="en-US" w:eastAsia="zh-CN"/>
              </w:rPr>
            </w:pPr>
            <w:r>
              <w:rPr>
                <w:rFonts w:hint="eastAsia" w:ascii="Arial" w:hAnsi="Arial" w:cs="Arial"/>
                <w:color w:val="000000"/>
                <w:kern w:val="0"/>
                <w:szCs w:val="21"/>
                <w:lang w:val="en-US" w:eastAsia="zh-CN"/>
              </w:rPr>
              <w:t>人工</w:t>
            </w:r>
          </w:p>
        </w:tc>
        <w:tc>
          <w:tcPr>
            <w:tcW w:w="2609" w:type="dxa"/>
            <w:tcBorders>
              <w:top w:val="nil"/>
              <w:left w:val="nil"/>
              <w:bottom w:val="nil"/>
              <w:right w:val="single" w:color="auto" w:sz="4" w:space="0"/>
            </w:tcBorders>
            <w:noWrap w:val="0"/>
            <w:vAlign w:val="center"/>
          </w:tcPr>
          <w:p w14:paraId="6DC83A13">
            <w:pPr>
              <w:widowControl/>
              <w:jc w:val="left"/>
              <w:rPr>
                <w:rFonts w:hint="eastAsia" w:ascii="Arial" w:hAnsi="Arial" w:eastAsia="宋体" w:cs="Arial"/>
                <w:color w:val="000000"/>
                <w:kern w:val="0"/>
                <w:szCs w:val="21"/>
                <w:lang w:val="en-US" w:eastAsia="zh-CN"/>
              </w:rPr>
            </w:pPr>
            <w:r>
              <w:rPr>
                <w:rFonts w:hint="eastAsia" w:ascii="Arial" w:hAnsi="Arial" w:cs="Arial"/>
                <w:color w:val="000000"/>
                <w:kern w:val="0"/>
                <w:szCs w:val="21"/>
                <w:lang w:val="en-US" w:eastAsia="zh-CN"/>
              </w:rPr>
              <w:t>/</w:t>
            </w:r>
          </w:p>
        </w:tc>
        <w:tc>
          <w:tcPr>
            <w:tcW w:w="913" w:type="dxa"/>
            <w:tcBorders>
              <w:top w:val="nil"/>
              <w:left w:val="nil"/>
              <w:bottom w:val="nil"/>
              <w:right w:val="single" w:color="auto" w:sz="4" w:space="0"/>
            </w:tcBorders>
            <w:noWrap w:val="0"/>
            <w:vAlign w:val="center"/>
          </w:tcPr>
          <w:p w14:paraId="49D4B77E">
            <w:pPr>
              <w:widowControl/>
              <w:jc w:val="center"/>
              <w:rPr>
                <w:rFonts w:ascii="Arial" w:hAnsi="Arial" w:cs="Arial"/>
                <w:color w:val="000000"/>
                <w:kern w:val="0"/>
                <w:szCs w:val="21"/>
              </w:rPr>
            </w:pPr>
          </w:p>
        </w:tc>
        <w:tc>
          <w:tcPr>
            <w:tcW w:w="850" w:type="dxa"/>
            <w:tcBorders>
              <w:top w:val="nil"/>
              <w:left w:val="nil"/>
              <w:bottom w:val="nil"/>
              <w:right w:val="single" w:color="auto" w:sz="4" w:space="0"/>
            </w:tcBorders>
            <w:noWrap w:val="0"/>
            <w:vAlign w:val="center"/>
          </w:tcPr>
          <w:p w14:paraId="74819773">
            <w:pPr>
              <w:widowControl/>
              <w:jc w:val="center"/>
              <w:rPr>
                <w:rFonts w:hint="eastAsia" w:ascii="宋体" w:hAnsi="宋体" w:cs="宋体"/>
                <w:color w:val="000000"/>
                <w:kern w:val="0"/>
                <w:szCs w:val="21"/>
              </w:rPr>
            </w:pPr>
          </w:p>
        </w:tc>
        <w:tc>
          <w:tcPr>
            <w:tcW w:w="2694" w:type="dxa"/>
            <w:tcBorders>
              <w:top w:val="nil"/>
              <w:left w:val="nil"/>
              <w:bottom w:val="nil"/>
              <w:right w:val="single" w:color="auto" w:sz="4" w:space="0"/>
            </w:tcBorders>
            <w:noWrap w:val="0"/>
            <w:vAlign w:val="center"/>
          </w:tcPr>
          <w:p w14:paraId="2A406462">
            <w:pPr>
              <w:widowControl/>
              <w:jc w:val="left"/>
              <w:rPr>
                <w:rFonts w:hint="eastAsia" w:ascii="宋体" w:hAnsi="宋体" w:cs="宋体"/>
                <w:color w:val="000000"/>
                <w:kern w:val="0"/>
                <w:szCs w:val="21"/>
              </w:rPr>
            </w:pPr>
          </w:p>
        </w:tc>
      </w:tr>
      <w:tr w14:paraId="26587F51">
        <w:tblPrEx>
          <w:tblCellMar>
            <w:top w:w="0" w:type="dxa"/>
            <w:left w:w="108" w:type="dxa"/>
            <w:bottom w:w="0" w:type="dxa"/>
            <w:right w:w="108" w:type="dxa"/>
          </w:tblCellMar>
        </w:tblPrEx>
        <w:trPr>
          <w:trHeight w:val="702" w:hRule="atLeast"/>
        </w:trPr>
        <w:tc>
          <w:tcPr>
            <w:tcW w:w="724" w:type="dxa"/>
            <w:tcBorders>
              <w:top w:val="nil"/>
              <w:left w:val="single" w:color="auto" w:sz="4" w:space="0"/>
              <w:bottom w:val="single" w:color="auto" w:sz="4" w:space="0"/>
              <w:right w:val="single" w:color="auto" w:sz="4" w:space="0"/>
            </w:tcBorders>
            <w:noWrap w:val="0"/>
            <w:vAlign w:val="center"/>
          </w:tcPr>
          <w:p w14:paraId="58932CB5">
            <w:pPr>
              <w:widowControl/>
              <w:jc w:val="center"/>
              <w:rPr>
                <w:rFonts w:hint="default" w:ascii="Arial" w:hAnsi="Arial" w:cs="Arial"/>
                <w:color w:val="000000"/>
                <w:kern w:val="0"/>
                <w:szCs w:val="21"/>
                <w:lang w:val="en-US" w:eastAsia="zh-CN"/>
              </w:rPr>
            </w:pPr>
            <w:r>
              <w:rPr>
                <w:rFonts w:hint="eastAsia" w:ascii="Arial" w:hAnsi="Arial" w:cs="Arial"/>
                <w:color w:val="000000"/>
                <w:kern w:val="0"/>
                <w:szCs w:val="21"/>
                <w:lang w:val="en-US" w:eastAsia="zh-CN"/>
              </w:rPr>
              <w:t>10</w:t>
            </w:r>
          </w:p>
        </w:tc>
        <w:tc>
          <w:tcPr>
            <w:tcW w:w="1156" w:type="dxa"/>
            <w:tcBorders>
              <w:top w:val="nil"/>
              <w:left w:val="nil"/>
              <w:bottom w:val="single" w:color="auto" w:sz="4" w:space="0"/>
              <w:right w:val="single" w:color="auto" w:sz="4" w:space="0"/>
            </w:tcBorders>
            <w:noWrap w:val="0"/>
            <w:vAlign w:val="center"/>
          </w:tcPr>
          <w:p w14:paraId="1E19E7AB">
            <w:pPr>
              <w:widowControl/>
              <w:tabs>
                <w:tab w:val="left" w:pos="305"/>
              </w:tabs>
              <w:jc w:val="left"/>
              <w:rPr>
                <w:rFonts w:hint="default" w:ascii="Arial" w:hAnsi="Arial" w:cs="Arial"/>
                <w:color w:val="000000"/>
                <w:kern w:val="0"/>
                <w:szCs w:val="21"/>
                <w:lang w:val="en-US" w:eastAsia="zh-CN"/>
              </w:rPr>
            </w:pPr>
            <w:r>
              <w:rPr>
                <w:rFonts w:hint="eastAsia" w:ascii="Arial" w:hAnsi="Arial" w:cs="Arial"/>
                <w:color w:val="000000"/>
                <w:kern w:val="0"/>
                <w:szCs w:val="21"/>
                <w:lang w:val="en-US" w:eastAsia="zh-CN"/>
              </w:rPr>
              <w:tab/>
            </w:r>
            <w:r>
              <w:rPr>
                <w:rFonts w:hint="eastAsia" w:ascii="Arial" w:hAnsi="Arial" w:cs="Arial"/>
                <w:color w:val="000000"/>
                <w:kern w:val="0"/>
                <w:szCs w:val="21"/>
                <w:lang w:val="en-US" w:eastAsia="zh-CN"/>
              </w:rPr>
              <w:t>保险</w:t>
            </w:r>
          </w:p>
        </w:tc>
        <w:tc>
          <w:tcPr>
            <w:tcW w:w="2609" w:type="dxa"/>
            <w:tcBorders>
              <w:top w:val="nil"/>
              <w:left w:val="nil"/>
              <w:bottom w:val="single" w:color="auto" w:sz="4" w:space="0"/>
              <w:right w:val="single" w:color="auto" w:sz="4" w:space="0"/>
            </w:tcBorders>
            <w:noWrap w:val="0"/>
            <w:vAlign w:val="center"/>
          </w:tcPr>
          <w:p w14:paraId="1735EDE4">
            <w:pPr>
              <w:widowControl/>
              <w:jc w:val="left"/>
              <w:rPr>
                <w:rFonts w:hint="eastAsia" w:ascii="Arial" w:hAnsi="Arial" w:eastAsia="宋体" w:cs="Arial"/>
                <w:color w:val="000000"/>
                <w:kern w:val="0"/>
                <w:szCs w:val="21"/>
                <w:lang w:val="en-US" w:eastAsia="zh-CN"/>
              </w:rPr>
            </w:pPr>
            <w:r>
              <w:rPr>
                <w:rFonts w:hint="eastAsia" w:ascii="Arial" w:hAnsi="Arial" w:cs="Arial"/>
                <w:color w:val="000000"/>
                <w:kern w:val="0"/>
                <w:szCs w:val="21"/>
                <w:lang w:val="en-US" w:eastAsia="zh-CN"/>
              </w:rPr>
              <w:t>/</w:t>
            </w:r>
          </w:p>
        </w:tc>
        <w:tc>
          <w:tcPr>
            <w:tcW w:w="913" w:type="dxa"/>
            <w:tcBorders>
              <w:top w:val="nil"/>
              <w:left w:val="nil"/>
              <w:bottom w:val="single" w:color="auto" w:sz="4" w:space="0"/>
              <w:right w:val="single" w:color="auto" w:sz="4" w:space="0"/>
            </w:tcBorders>
            <w:noWrap w:val="0"/>
            <w:vAlign w:val="center"/>
          </w:tcPr>
          <w:p w14:paraId="7ECC3076">
            <w:pPr>
              <w:widowControl/>
              <w:jc w:val="center"/>
              <w:rPr>
                <w:rFonts w:ascii="Arial" w:hAnsi="Arial" w:cs="Arial"/>
                <w:color w:val="000000"/>
                <w:kern w:val="0"/>
                <w:szCs w:val="21"/>
              </w:rPr>
            </w:pPr>
          </w:p>
        </w:tc>
        <w:tc>
          <w:tcPr>
            <w:tcW w:w="850" w:type="dxa"/>
            <w:tcBorders>
              <w:top w:val="nil"/>
              <w:left w:val="nil"/>
              <w:bottom w:val="single" w:color="auto" w:sz="4" w:space="0"/>
              <w:right w:val="single" w:color="auto" w:sz="4" w:space="0"/>
            </w:tcBorders>
            <w:noWrap w:val="0"/>
            <w:vAlign w:val="center"/>
          </w:tcPr>
          <w:p w14:paraId="799D0027">
            <w:pPr>
              <w:widowControl/>
              <w:jc w:val="center"/>
              <w:rPr>
                <w:rFonts w:hint="eastAsia" w:ascii="宋体" w:hAnsi="宋体" w:cs="宋体"/>
                <w:color w:val="000000"/>
                <w:kern w:val="0"/>
                <w:szCs w:val="21"/>
              </w:rPr>
            </w:pPr>
          </w:p>
        </w:tc>
        <w:tc>
          <w:tcPr>
            <w:tcW w:w="2694" w:type="dxa"/>
            <w:tcBorders>
              <w:top w:val="nil"/>
              <w:left w:val="nil"/>
              <w:bottom w:val="single" w:color="auto" w:sz="4" w:space="0"/>
              <w:right w:val="single" w:color="auto" w:sz="4" w:space="0"/>
            </w:tcBorders>
            <w:noWrap w:val="0"/>
            <w:vAlign w:val="center"/>
          </w:tcPr>
          <w:p w14:paraId="6D6167BF">
            <w:pPr>
              <w:widowControl/>
              <w:jc w:val="left"/>
              <w:rPr>
                <w:rFonts w:hint="eastAsia" w:ascii="宋体" w:hAnsi="宋体" w:cs="宋体"/>
                <w:color w:val="000000"/>
                <w:kern w:val="0"/>
                <w:szCs w:val="21"/>
              </w:rPr>
            </w:pPr>
          </w:p>
        </w:tc>
      </w:tr>
    </w:tbl>
    <w:p w14:paraId="38BC634F">
      <w:pPr>
        <w:spacing w:line="480" w:lineRule="auto"/>
        <w:ind w:firstLine="480" w:firstLineChars="200"/>
        <w:jc w:val="left"/>
        <w:rPr>
          <w:rFonts w:hint="eastAsia" w:ascii="宋体" w:hAnsi="宋体"/>
          <w:sz w:val="24"/>
        </w:rPr>
      </w:pPr>
    </w:p>
    <w:p w14:paraId="14A3CA44">
      <w:pPr>
        <w:spacing w:line="480" w:lineRule="auto"/>
        <w:ind w:firstLine="480" w:firstLineChars="200"/>
        <w:jc w:val="left"/>
        <w:rPr>
          <w:rFonts w:hint="eastAsia" w:ascii="宋体" w:hAnsi="宋体"/>
          <w:sz w:val="24"/>
        </w:rPr>
      </w:pPr>
      <w:r>
        <w:rPr>
          <w:rFonts w:hint="eastAsia" w:ascii="宋体" w:hAnsi="宋体"/>
          <w:sz w:val="24"/>
        </w:rPr>
        <w:t>三、服务要求：</w:t>
      </w:r>
    </w:p>
    <w:p w14:paraId="1995D5E5">
      <w:pPr>
        <w:spacing w:line="48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w:t>
      </w:r>
      <w:r>
        <w:rPr>
          <w:rFonts w:ascii="宋体" w:hAnsi="宋体" w:cs="宋体"/>
          <w:sz w:val="24"/>
        </w:rPr>
        <w:t>供应商需提供项目所需相关专业设施设备，涉及的安装、拆除、运输等由供应商负责。</w:t>
      </w:r>
      <w:r>
        <w:rPr>
          <w:rFonts w:hint="eastAsia" w:ascii="宋体" w:hAnsi="宋体" w:cs="宋体"/>
          <w:sz w:val="24"/>
        </w:rPr>
        <w:t>展位</w:t>
      </w:r>
      <w:r>
        <w:rPr>
          <w:rFonts w:ascii="宋体" w:hAnsi="宋体" w:cs="宋体"/>
          <w:sz w:val="24"/>
        </w:rPr>
        <w:t>搭建所有结构设计安全稳固，施工材料安全环保，并且搭建结构、防火等设计上应符合国家和行业相关要求，确保施工质量。项目执行结束后，须还原活动场地原来的风貌。</w:t>
      </w:r>
    </w:p>
    <w:p w14:paraId="4C6140DA">
      <w:pPr>
        <w:spacing w:line="480" w:lineRule="auto"/>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w:t>
      </w:r>
      <w:r>
        <w:rPr>
          <w:rFonts w:ascii="宋体" w:hAnsi="宋体" w:cs="宋体"/>
          <w:sz w:val="24"/>
        </w:rPr>
        <w:t xml:space="preserve">供应商提供的服务应符合或优于国家相关标准、行业标准、地方标准或者其他标准、规范要求。 </w:t>
      </w:r>
    </w:p>
    <w:p w14:paraId="60C34F7B">
      <w:pPr>
        <w:spacing w:line="480" w:lineRule="auto"/>
        <w:ind w:firstLine="480" w:firstLineChars="200"/>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w:t>
      </w:r>
      <w:r>
        <w:rPr>
          <w:rFonts w:hint="eastAsia" w:ascii="宋体" w:hAnsi="宋体" w:cs="宋体"/>
          <w:sz w:val="24"/>
        </w:rPr>
        <w:t>成交</w:t>
      </w:r>
      <w:r>
        <w:rPr>
          <w:rFonts w:ascii="宋体" w:hAnsi="宋体" w:cs="宋体"/>
          <w:sz w:val="24"/>
        </w:rPr>
        <w:t>供应商在采购人指定场地进行展位搭建，需在活动开展时间前完成搭建和调试，并确保搭建不存在安全隐患，符合消防及安全要求；</w:t>
      </w:r>
    </w:p>
    <w:p w14:paraId="6BF9A10A">
      <w:pPr>
        <w:spacing w:line="480" w:lineRule="auto"/>
        <w:ind w:firstLine="480" w:firstLineChars="200"/>
        <w:rPr>
          <w:rFonts w:hint="eastAsia" w:ascii="宋体" w:hAnsi="宋体" w:cs="宋体"/>
          <w:sz w:val="24"/>
        </w:rPr>
      </w:pPr>
      <w:r>
        <w:rPr>
          <w:rFonts w:hint="eastAsia" w:ascii="宋体" w:hAnsi="宋体" w:cs="宋体"/>
          <w:sz w:val="24"/>
        </w:rPr>
        <w:t>4</w:t>
      </w:r>
      <w:r>
        <w:rPr>
          <w:rFonts w:hint="eastAsia" w:ascii="宋体" w:hAnsi="宋体" w:cs="宋体"/>
          <w:sz w:val="24"/>
          <w:lang w:val="en-US" w:eastAsia="zh-CN"/>
        </w:rPr>
        <w:t>.</w:t>
      </w:r>
      <w:r>
        <w:rPr>
          <w:rFonts w:hint="eastAsia" w:ascii="宋体" w:hAnsi="宋体" w:cs="宋体"/>
          <w:sz w:val="24"/>
        </w:rPr>
        <w:t>成交</w:t>
      </w:r>
      <w:r>
        <w:rPr>
          <w:rFonts w:ascii="宋体" w:hAnsi="宋体" w:cs="宋体"/>
          <w:sz w:val="24"/>
        </w:rPr>
        <w:t>供应商在项目全程所使用的物料及设备均为合格安全环保的产品，不得采用劣质及有安全隐患的产品；</w:t>
      </w:r>
    </w:p>
    <w:p w14:paraId="50E537EE">
      <w:pPr>
        <w:spacing w:line="480" w:lineRule="auto"/>
        <w:ind w:firstLine="480" w:firstLineChars="200"/>
        <w:rPr>
          <w:rFonts w:hint="eastAsia" w:ascii="宋体" w:hAnsi="宋体" w:cs="宋体"/>
          <w:sz w:val="24"/>
        </w:rPr>
      </w:pPr>
      <w:r>
        <w:rPr>
          <w:rFonts w:hint="eastAsia" w:ascii="宋体" w:hAnsi="宋体" w:cs="宋体"/>
          <w:sz w:val="24"/>
        </w:rPr>
        <w:t>5</w:t>
      </w:r>
      <w:r>
        <w:rPr>
          <w:rFonts w:hint="eastAsia" w:ascii="宋体" w:hAnsi="宋体" w:cs="宋体"/>
          <w:sz w:val="24"/>
          <w:lang w:val="en-US" w:eastAsia="zh-CN"/>
        </w:rPr>
        <w:t>.</w:t>
      </w:r>
      <w:r>
        <w:rPr>
          <w:rFonts w:hint="eastAsia" w:ascii="宋体" w:hAnsi="宋体" w:cs="宋体"/>
          <w:sz w:val="24"/>
        </w:rPr>
        <w:t>成交</w:t>
      </w:r>
      <w:r>
        <w:rPr>
          <w:rFonts w:ascii="宋体" w:hAnsi="宋体" w:cs="宋体"/>
          <w:sz w:val="24"/>
        </w:rPr>
        <w:t>供应商定期及时向采购人通告本项目服务范围内有关服务的重大事项及其进度。</w:t>
      </w:r>
    </w:p>
    <w:p w14:paraId="417DA143">
      <w:pPr>
        <w:spacing w:line="480" w:lineRule="auto"/>
        <w:ind w:firstLine="480" w:firstLineChars="200"/>
        <w:rPr>
          <w:rFonts w:hint="eastAsia" w:ascii="宋体" w:hAnsi="宋体" w:cs="宋体"/>
          <w:sz w:val="24"/>
        </w:rPr>
      </w:pPr>
      <w:r>
        <w:rPr>
          <w:rFonts w:hint="eastAsia" w:ascii="宋体" w:hAnsi="宋体" w:cs="宋体"/>
          <w:sz w:val="24"/>
        </w:rPr>
        <w:t>6</w:t>
      </w:r>
      <w:r>
        <w:rPr>
          <w:rFonts w:hint="eastAsia" w:ascii="宋体" w:hAnsi="宋体" w:cs="宋体"/>
          <w:sz w:val="24"/>
          <w:lang w:val="en-US" w:eastAsia="zh-CN"/>
        </w:rPr>
        <w:t>.</w:t>
      </w:r>
      <w:r>
        <w:rPr>
          <w:rFonts w:hint="eastAsia" w:ascii="宋体" w:hAnsi="宋体" w:cs="宋体"/>
          <w:sz w:val="24"/>
        </w:rPr>
        <w:t>成交供应商要强化合作、加强沟通、密切联系，积极配合、主动作为、无缝衔接，确保任务落实到位、工作高效推进。</w:t>
      </w:r>
    </w:p>
    <w:p w14:paraId="52F825C1">
      <w:pPr>
        <w:spacing w:line="480" w:lineRule="auto"/>
        <w:ind w:firstLine="480" w:firstLineChars="200"/>
        <w:jc w:val="left"/>
        <w:rPr>
          <w:rFonts w:hint="eastAsia" w:ascii="宋体" w:hAnsi="宋体"/>
          <w:sz w:val="24"/>
        </w:rPr>
      </w:pPr>
      <w:r>
        <w:rPr>
          <w:rFonts w:hint="eastAsia" w:ascii="宋体" w:hAnsi="宋体"/>
          <w:sz w:val="24"/>
        </w:rPr>
        <w:t>★7</w:t>
      </w:r>
      <w:r>
        <w:rPr>
          <w:rFonts w:hint="eastAsia" w:ascii="宋体" w:hAnsi="宋体"/>
          <w:sz w:val="24"/>
          <w:lang w:val="en-US" w:eastAsia="zh-CN"/>
        </w:rPr>
        <w:t>.</w:t>
      </w:r>
      <w:r>
        <w:rPr>
          <w:rFonts w:hint="eastAsia" w:ascii="宋体" w:hAnsi="宋体"/>
          <w:sz w:val="24"/>
        </w:rPr>
        <w:t>本项目实施期间的所有安全责任由成交供应商自行负责，采购人不承担任何责任，成交供应商须根据自身需要购买保险。</w:t>
      </w:r>
    </w:p>
    <w:p w14:paraId="14B7774B">
      <w:pPr>
        <w:spacing w:line="480" w:lineRule="auto"/>
        <w:ind w:firstLine="480" w:firstLineChars="200"/>
        <w:jc w:val="left"/>
        <w:rPr>
          <w:rFonts w:ascii="宋体" w:hAnsi="宋体"/>
          <w:b/>
          <w:bCs/>
          <w:sz w:val="24"/>
        </w:rPr>
      </w:pPr>
      <w:r>
        <w:rPr>
          <w:rFonts w:hint="eastAsia" w:ascii="宋体" w:hAnsi="宋体"/>
          <w:sz w:val="24"/>
        </w:rPr>
        <w:t>四、商务要求</w:t>
      </w:r>
    </w:p>
    <w:p w14:paraId="2F789C02">
      <w:pPr>
        <w:spacing w:line="480" w:lineRule="auto"/>
        <w:ind w:firstLine="480" w:firstLineChars="200"/>
        <w:jc w:val="left"/>
        <w:rPr>
          <w:rFonts w:ascii="宋体" w:hAnsi="宋体"/>
          <w:sz w:val="24"/>
        </w:rPr>
      </w:pPr>
      <w:r>
        <w:rPr>
          <w:rFonts w:hint="eastAsia" w:ascii="宋体" w:hAnsi="宋体"/>
          <w:sz w:val="24"/>
        </w:rPr>
        <w:t>1</w:t>
      </w:r>
      <w:r>
        <w:rPr>
          <w:rFonts w:hint="eastAsia" w:ascii="宋体" w:hAnsi="宋体"/>
          <w:sz w:val="24"/>
          <w:lang w:val="en-US" w:eastAsia="zh-CN"/>
        </w:rPr>
        <w:t>.</w:t>
      </w:r>
      <w:r>
        <w:rPr>
          <w:rFonts w:hint="eastAsia" w:ascii="宋体" w:hAnsi="宋体"/>
          <w:sz w:val="24"/>
        </w:rPr>
        <w:t>服务地点：</w:t>
      </w:r>
      <w:r>
        <w:rPr>
          <w:rFonts w:hint="eastAsia" w:ascii="宋体" w:hAnsi="宋体" w:cs="宋体"/>
          <w:sz w:val="24"/>
        </w:rPr>
        <w:t>广元市朝天区商务局指定地点</w:t>
      </w:r>
      <w:r>
        <w:rPr>
          <w:rFonts w:hint="eastAsia" w:ascii="宋体" w:hAnsi="宋体"/>
          <w:sz w:val="24"/>
        </w:rPr>
        <w:t>。</w:t>
      </w:r>
    </w:p>
    <w:p w14:paraId="3D8404F5">
      <w:pPr>
        <w:spacing w:line="480" w:lineRule="auto"/>
        <w:ind w:firstLine="480" w:firstLineChars="200"/>
        <w:jc w:val="left"/>
        <w:rPr>
          <w:rFonts w:hint="default" w:ascii="宋体" w:hAnsi="宋体" w:eastAsia="宋体"/>
          <w:sz w:val="24"/>
          <w:lang w:val="en-US" w:eastAsia="zh-CN"/>
        </w:rPr>
      </w:pPr>
      <w:r>
        <w:rPr>
          <w:rFonts w:hint="eastAsia" w:ascii="宋体" w:hAnsi="宋体"/>
          <w:sz w:val="24"/>
        </w:rPr>
        <w:t>2</w:t>
      </w:r>
      <w:r>
        <w:rPr>
          <w:rFonts w:hint="eastAsia" w:ascii="宋体" w:hAnsi="宋体"/>
          <w:sz w:val="24"/>
          <w:lang w:val="en-US" w:eastAsia="zh-CN"/>
        </w:rPr>
        <w:t>.</w:t>
      </w:r>
      <w:r>
        <w:rPr>
          <w:rFonts w:hint="eastAsia" w:ascii="宋体" w:hAnsi="宋体"/>
          <w:sz w:val="24"/>
        </w:rPr>
        <w:t>服务时间：</w:t>
      </w:r>
      <w:r>
        <w:rPr>
          <w:rFonts w:hint="eastAsia" w:ascii="宋体" w:hAnsi="宋体"/>
          <w:sz w:val="24"/>
          <w:lang w:val="en-US" w:eastAsia="zh-CN"/>
        </w:rPr>
        <w:t>预估活动时间2025年10月8-10日，具体时间采购人提前通知。</w:t>
      </w:r>
    </w:p>
    <w:p w14:paraId="3C1FDE57">
      <w:pPr>
        <w:spacing w:line="480" w:lineRule="auto"/>
        <w:ind w:firstLine="480" w:firstLineChars="200"/>
        <w:rPr>
          <w:rFonts w:hint="eastAsia" w:ascii="宋体" w:hAnsi="宋体"/>
          <w:sz w:val="24"/>
        </w:rPr>
      </w:pPr>
      <w:r>
        <w:rPr>
          <w:rFonts w:hint="eastAsia" w:ascii="宋体" w:hAnsi="宋体"/>
          <w:sz w:val="24"/>
        </w:rPr>
        <w:t>3</w:t>
      </w:r>
      <w:r>
        <w:rPr>
          <w:rFonts w:hint="eastAsia" w:ascii="宋体" w:hAnsi="宋体"/>
          <w:sz w:val="24"/>
          <w:lang w:val="en-US" w:eastAsia="zh-CN"/>
        </w:rPr>
        <w:t>.</w:t>
      </w:r>
      <w:r>
        <w:rPr>
          <w:rFonts w:hint="eastAsia" w:ascii="宋体" w:hAnsi="宋体"/>
          <w:sz w:val="24"/>
        </w:rPr>
        <w:t>支付约定：成交供应商和采购人在合同中自行约定。</w:t>
      </w:r>
    </w:p>
    <w:p w14:paraId="043BE9D8">
      <w:pPr>
        <w:spacing w:line="480" w:lineRule="auto"/>
        <w:ind w:firstLine="480" w:firstLineChars="200"/>
        <w:rPr>
          <w:rFonts w:hint="eastAsia" w:ascii="宋体" w:hAnsi="宋体"/>
          <w:sz w:val="24"/>
        </w:rPr>
      </w:pPr>
      <w:r>
        <w:rPr>
          <w:rFonts w:hint="eastAsia" w:ascii="宋体" w:hAnsi="宋体"/>
          <w:sz w:val="24"/>
        </w:rPr>
        <w:t>4</w:t>
      </w:r>
      <w:r>
        <w:rPr>
          <w:rFonts w:hint="eastAsia" w:ascii="宋体" w:hAnsi="宋体"/>
          <w:sz w:val="24"/>
          <w:lang w:val="en-US" w:eastAsia="zh-CN"/>
        </w:rPr>
        <w:t>.</w:t>
      </w:r>
      <w:r>
        <w:rPr>
          <w:rFonts w:hint="eastAsia" w:ascii="宋体" w:hAnsi="宋体"/>
          <w:sz w:val="24"/>
        </w:rPr>
        <w:t>报价：本项目合同总金额包含</w:t>
      </w:r>
      <w:r>
        <w:rPr>
          <w:rFonts w:hint="eastAsia" w:ascii="宋体" w:hAnsi="宋体"/>
          <w:color w:val="000000"/>
          <w:sz w:val="24"/>
        </w:rPr>
        <w:t>人员费用、场地费、税费</w:t>
      </w:r>
      <w:r>
        <w:rPr>
          <w:rFonts w:hint="eastAsia" w:ascii="宋体" w:hAnsi="宋体"/>
          <w:sz w:val="24"/>
        </w:rPr>
        <w:t>、利润、工具、耗材、物料</w:t>
      </w:r>
      <w:r>
        <w:rPr>
          <w:rFonts w:hint="eastAsia" w:ascii="宋体" w:hAnsi="宋体"/>
          <w:sz w:val="24"/>
          <w:lang w:eastAsia="zh-CN"/>
        </w:rPr>
        <w:t>、</w:t>
      </w:r>
      <w:r>
        <w:rPr>
          <w:rFonts w:hint="eastAsia" w:ascii="宋体" w:hAnsi="宋体"/>
          <w:sz w:val="24"/>
          <w:lang w:val="en-US" w:eastAsia="zh-CN"/>
        </w:rPr>
        <w:t>招标代理费</w:t>
      </w:r>
      <w:r>
        <w:rPr>
          <w:rFonts w:hint="eastAsia" w:ascii="宋体" w:hAnsi="宋体"/>
          <w:sz w:val="24"/>
        </w:rPr>
        <w:t>完成本项目可预见或不可预见所需的一切费用，采购人不再另外支付任何费用。</w:t>
      </w:r>
    </w:p>
    <w:p w14:paraId="22784973">
      <w:pPr>
        <w:spacing w:line="480" w:lineRule="auto"/>
        <w:ind w:firstLine="480" w:firstLineChars="200"/>
        <w:rPr>
          <w:rFonts w:hint="eastAsia" w:ascii="宋体" w:hAnsi="宋体"/>
          <w:sz w:val="24"/>
        </w:rPr>
      </w:pPr>
      <w:r>
        <w:rPr>
          <w:rFonts w:hint="eastAsia" w:ascii="宋体" w:hAnsi="宋体"/>
          <w:sz w:val="24"/>
        </w:rPr>
        <w:t>5</w:t>
      </w:r>
      <w:r>
        <w:rPr>
          <w:rFonts w:hint="eastAsia" w:ascii="宋体" w:hAnsi="宋体"/>
          <w:sz w:val="24"/>
          <w:lang w:val="en-US" w:eastAsia="zh-CN"/>
        </w:rPr>
        <w:t>.</w:t>
      </w:r>
      <w:r>
        <w:rPr>
          <w:rFonts w:hint="eastAsia" w:ascii="宋体" w:hAnsi="宋体"/>
          <w:sz w:val="24"/>
        </w:rPr>
        <w:t>其他未尽事宜在采购合同中约定。</w:t>
      </w:r>
    </w:p>
    <w:p w14:paraId="10A11215">
      <w:pPr>
        <w:spacing w:line="480" w:lineRule="auto"/>
        <w:ind w:firstLine="480" w:firstLineChars="200"/>
        <w:rPr>
          <w:rFonts w:hint="eastAsia" w:ascii="宋体" w:hAnsi="宋体"/>
          <w:sz w:val="24"/>
          <w:lang w:val="en-US" w:eastAsia="zh-CN"/>
        </w:rPr>
      </w:pPr>
      <w:r>
        <w:rPr>
          <w:rFonts w:hint="eastAsia" w:ascii="宋体" w:hAnsi="宋体"/>
          <w:sz w:val="24"/>
          <w:lang w:val="en-US" w:eastAsia="zh-CN"/>
        </w:rPr>
        <w:t>6.验收：</w:t>
      </w:r>
    </w:p>
    <w:p w14:paraId="33A1D3B3">
      <w:pPr>
        <w:spacing w:line="480" w:lineRule="auto"/>
        <w:ind w:firstLine="480" w:firstLineChars="200"/>
        <w:rPr>
          <w:rFonts w:hint="eastAsia" w:ascii="宋体" w:hAnsi="宋体"/>
          <w:sz w:val="24"/>
          <w:lang w:val="en-US" w:eastAsia="zh-CN"/>
        </w:rPr>
      </w:pPr>
      <w:r>
        <w:rPr>
          <w:rFonts w:hint="eastAsia" w:ascii="宋体" w:hAnsi="宋体"/>
          <w:sz w:val="24"/>
          <w:lang w:val="en-US" w:eastAsia="zh-CN"/>
        </w:rPr>
        <w:t>（1）验收主体：广元市朝天区商务局。</w:t>
      </w:r>
    </w:p>
    <w:p w14:paraId="1D873346">
      <w:pPr>
        <w:spacing w:line="480" w:lineRule="auto"/>
        <w:ind w:firstLine="480" w:firstLineChars="200"/>
        <w:rPr>
          <w:rFonts w:hint="eastAsia" w:ascii="宋体" w:hAnsi="宋体"/>
          <w:sz w:val="24"/>
          <w:lang w:val="en-US" w:eastAsia="zh-CN"/>
        </w:rPr>
      </w:pPr>
      <w:r>
        <w:rPr>
          <w:rFonts w:hint="eastAsia" w:ascii="宋体" w:hAnsi="宋体"/>
          <w:sz w:val="24"/>
          <w:lang w:val="en-US" w:eastAsia="zh-CN"/>
        </w:rPr>
        <w:t>（2）验收时间：所有服务内容完成后10个工作日。</w:t>
      </w:r>
    </w:p>
    <w:p w14:paraId="71E436E0">
      <w:pPr>
        <w:spacing w:line="480" w:lineRule="auto"/>
        <w:ind w:firstLine="480" w:firstLineChars="200"/>
        <w:rPr>
          <w:rFonts w:hint="eastAsia" w:ascii="宋体" w:hAnsi="宋体"/>
          <w:sz w:val="24"/>
          <w:lang w:val="en-US" w:eastAsia="zh-CN"/>
        </w:rPr>
      </w:pPr>
      <w:r>
        <w:rPr>
          <w:rFonts w:hint="eastAsia" w:ascii="宋体" w:hAnsi="宋体"/>
          <w:sz w:val="24"/>
          <w:lang w:val="en-US" w:eastAsia="zh-CN"/>
        </w:rPr>
        <w:t>（3）验收程序：成交供应商在所有服务内容完成后3个工作日内提出书面验收申请，采购人在7个工作日内做出书面答复并完成验收。</w:t>
      </w:r>
    </w:p>
    <w:p w14:paraId="052D046B">
      <w:pPr>
        <w:spacing w:line="480" w:lineRule="auto"/>
        <w:ind w:firstLine="480" w:firstLineChars="200"/>
        <w:rPr>
          <w:rFonts w:hint="eastAsia" w:ascii="宋体" w:hAnsi="宋体"/>
          <w:sz w:val="24"/>
          <w:lang w:val="en-US" w:eastAsia="zh-CN"/>
        </w:rPr>
      </w:pPr>
      <w:r>
        <w:rPr>
          <w:rFonts w:hint="eastAsia" w:ascii="宋体" w:hAnsi="宋体"/>
          <w:sz w:val="24"/>
          <w:lang w:val="en-US" w:eastAsia="zh-CN"/>
        </w:rPr>
        <w:t>（4）验收内容：本项目所涉及的服务内容及形成的资料等。</w:t>
      </w:r>
    </w:p>
    <w:p w14:paraId="02E76372">
      <w:pPr>
        <w:spacing w:line="480" w:lineRule="auto"/>
        <w:ind w:firstLine="480" w:firstLineChars="200"/>
        <w:rPr>
          <w:rFonts w:hint="eastAsia" w:ascii="宋体" w:hAnsi="宋体"/>
          <w:sz w:val="24"/>
          <w:lang w:val="en-US" w:eastAsia="zh-CN"/>
        </w:rPr>
      </w:pPr>
      <w:r>
        <w:rPr>
          <w:rFonts w:hint="eastAsia" w:ascii="宋体" w:hAnsi="宋体"/>
          <w:sz w:val="24"/>
          <w:lang w:val="en-US" w:eastAsia="zh-CN"/>
        </w:rPr>
        <w:t>（5）验收标准：采购人将严格按照政府采购相关法律法规以及《财政部关于进一步加强政府采购需求和履约验收管理的指导意见》财库【2016】205文件要求、磋商文件规定的要求和响应文件及合同承诺的内容进行验收。</w:t>
      </w:r>
    </w:p>
    <w:p w14:paraId="047ECCD3">
      <w:pPr>
        <w:spacing w:line="480" w:lineRule="auto"/>
        <w:ind w:firstLine="480" w:firstLineChars="200"/>
        <w:rPr>
          <w:rFonts w:hint="default" w:ascii="宋体" w:hAnsi="宋体" w:eastAsia="宋体"/>
          <w:sz w:val="24"/>
          <w:lang w:val="en-US" w:eastAsia="zh-CN"/>
        </w:rPr>
      </w:pPr>
      <w:r>
        <w:rPr>
          <w:rFonts w:hint="eastAsia" w:ascii="宋体" w:hAnsi="宋体"/>
          <w:sz w:val="24"/>
          <w:lang w:val="en-US" w:eastAsia="zh-CN"/>
        </w:rPr>
        <w:t>注：以上要求带★的为本项目的实质性要求，必须满足，否则作无效投标处理。</w:t>
      </w:r>
    </w:p>
    <w:p w14:paraId="42ECD54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813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before="72"/>
      <w:ind w:left="1045"/>
      <w:jc w:val="left"/>
    </w:pPr>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2025-11-14T08:49:24Z</dcterms:created>
  <dc:creator>Administrator</dc:creator>
  <cp:lastModifiedBy>Administrator</cp:lastModifiedBy>
  <dcterms:modified xsi:type="dcterms:W3CDTF">2025-11-14T08:49:46Z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eyJoZGlkIjoiYzIxMDZmOGUxZDFkYjYwNjQxMTgyMWVkNTExYzJhYzAifQ==</vt:lpwstr>
  </property>
  <property fmtid="{D5CDD505-2E9C-101B-9397-08002B2CF9AE}" pid="4" name="ICV">
    <vt:lpwstr>6373094C00704D028EABE8734C1426BD_12</vt:lpwstr>
  </property>
</Properties>
</file>