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《兴业银行成都分行“四季兴财 财富入企”</w:t>
      </w:r>
      <w:r>
        <w:rPr>
          <w:rFonts w:hint="eastAsia" w:ascii="宋体" w:hAnsi="宋体" w:cs="宋体"/>
          <w:b/>
          <w:sz w:val="44"/>
          <w:szCs w:val="44"/>
          <w:lang w:val="en-US" w:eastAsia="zh-CN"/>
        </w:rPr>
        <w:t>活动</w:t>
      </w:r>
      <w:r>
        <w:rPr>
          <w:rFonts w:hint="eastAsia" w:ascii="宋体" w:hAnsi="宋体" w:eastAsia="宋体" w:cs="宋体"/>
          <w:b/>
          <w:sz w:val="44"/>
          <w:szCs w:val="44"/>
          <w:lang w:val="en-US" w:eastAsia="zh-CN"/>
        </w:rPr>
        <w:t>项目》供应商征集反馈材料-公司名称（全称）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sz w:val="28"/>
          <w:szCs w:val="28"/>
          <w:lang w:val="en-US" w:eastAsia="zh-CN" w:bidi="ar-SA"/>
        </w:rPr>
        <w:t xml:space="preserve">公司简介  </w:t>
      </w:r>
      <w:r>
        <w:rPr>
          <w:rFonts w:hint="eastAsia" w:ascii="仿宋" w:hAnsi="仿宋" w:eastAsia="仿宋" w:cs="Times New Roman"/>
          <w:b/>
          <w:bCs/>
          <w:kern w:val="2"/>
          <w:sz w:val="28"/>
          <w:szCs w:val="28"/>
          <w:lang w:val="en-US" w:eastAsia="zh-CN" w:bidi="ar-SA"/>
        </w:rPr>
        <w:t xml:space="preserve">对应页码P1-P2   </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对应页码P2-P20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13"/>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0" w:firstLineChars="0"/>
        <w:textAlignment w:val="auto"/>
        <w:outlineLvl w:val="1"/>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bidi="ar-SA"/>
        </w:rPr>
        <w:t>XXXXX</w:t>
      </w:r>
      <w:r>
        <w:rPr>
          <w:rFonts w:hint="eastAsia" w:ascii="黑体" w:hAnsi="黑体" w:eastAsia="黑体" w:cs="黑体"/>
          <w:b w:val="0"/>
          <w:bCs/>
          <w:sz w:val="32"/>
          <w:szCs w:val="32"/>
          <w:lang w:val="en-US" w:eastAsia="zh-CN"/>
        </w:rPr>
        <w:t>公司简介：</w:t>
      </w:r>
    </w:p>
    <w:p>
      <w:pPr>
        <w:pStyle w:val="4"/>
        <w:tabs>
          <w:tab w:val="left" w:pos="992"/>
        </w:tabs>
        <w:ind w:firstLine="0" w:firstLineChars="0"/>
        <w:jc w:val="center"/>
        <w:outlineLvl w:val="0"/>
        <w:rPr>
          <w:rFonts w:hint="eastAsia" w:ascii="仿宋" w:hAnsi="仿宋" w:eastAsia="仿宋" w:cs="Times New Roman"/>
          <w:b/>
          <w:bCs/>
          <w:sz w:val="28"/>
          <w:szCs w:val="28"/>
          <w:lang w:bidi="ar-SA"/>
        </w:rPr>
      </w:pPr>
      <w:r>
        <w:rPr>
          <w:rFonts w:hint="eastAsia" w:ascii="仿宋" w:hAnsi="仿宋" w:eastAsia="仿宋" w:cs="Times New Roman"/>
          <w:b/>
          <w:bCs/>
          <w:sz w:val="28"/>
          <w:szCs w:val="28"/>
          <w:lang w:val="en-US" w:eastAsia="zh-CN" w:bidi="ar-SA"/>
        </w:rPr>
        <w:t xml:space="preserve">   </w:t>
      </w:r>
      <w:r>
        <w:rPr>
          <w:rFonts w:hint="eastAsia" w:ascii="仿宋" w:hAnsi="仿宋" w:eastAsia="仿宋" w:cs="Times New Roman"/>
          <w:b/>
          <w:bCs/>
          <w:sz w:val="28"/>
          <w:szCs w:val="28"/>
          <w:lang w:bidi="ar-SA"/>
        </w:rPr>
        <w:t xml:space="preserve"> 公司成立于***年*月，注册资金***万（实缴资本***万），央企/国有控股企业/国有独资企业/国有参股企业/外资控股企业/港资企业/台资企业/民营企业/境外企业，是否上市公司/股票代码，公司总部位于上海******，公司主要股东包括**（****%）、***（****%）、***（****%）【前三大股东及控股比例，从高到底依次说明】。上一年度（***年）财报情况：公司营收***万，利润**万，总资产***万。公司主营业务包括：************。本项目服务领域，公司具备**银行、**银行等合作开展相似案例（符合寻源公告要求的案例）。</w:t>
      </w: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“是否满足”和“基本情况说明”列由供应商填写。）</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94"/>
        <w:gridCol w:w="1602"/>
        <w:gridCol w:w="2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46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1.1采购需求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462" w:type="pct"/>
            <w:vAlign w:val="center"/>
          </w:tcPr>
          <w:p>
            <w:pPr>
              <w:pStyle w:val="2"/>
              <w:keepNext w:val="0"/>
              <w:keepLines w:val="0"/>
              <w:pageBreakBefore w:val="0"/>
              <w:widowControl w:val="0"/>
              <w:numPr>
                <w:ilvl w:val="0"/>
                <w:numId w:val="0"/>
              </w:numPr>
              <w:kinsoku/>
              <w:wordWrap/>
              <w:overflowPunct/>
              <w:topLinePunct/>
              <w:autoSpaceDE w:val="0"/>
              <w:autoSpaceDN w:val="0"/>
              <w:bidi w:val="0"/>
              <w:adjustRightInd w:val="0"/>
              <w:snapToGrid/>
              <w:spacing w:line="80" w:lineRule="atLeast"/>
              <w:ind w:leftChars="0" w:firstLine="560" w:firstLineChars="20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1.1.1服务品类：本次采购服务为我行优质代发企业及重点合作企业中的潜力贵宾客户组织开展活动策划与执行服务。每月对次月活动主题、场次进行提前排期；活动类别涵盖文化、艺术、女性、亲子、教育、美学、康养等多种类型，供应商在上述类别基础上另提出1-2中活动类别。</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462" w:type="pct"/>
            <w:vAlign w:val="center"/>
          </w:tcPr>
          <w:p>
            <w:pPr>
              <w:pStyle w:val="4"/>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w:t>
            </w:r>
            <w:r>
              <w:rPr>
                <w:rFonts w:hint="eastAsia" w:ascii="仿宋" w:hAnsi="仿宋" w:eastAsia="仿宋" w:cs="仿宋"/>
                <w:b w:val="0"/>
                <w:bCs w:val="0"/>
                <w:kern w:val="0"/>
                <w:sz w:val="28"/>
                <w:szCs w:val="28"/>
                <w:lang w:val="en-US" w:eastAsia="zh-CN" w:bidi="ar-SA"/>
              </w:rPr>
              <w:t>2规格及数量:活动包括代发企业财富入企活动和重点合作企业财富入企活动，预计开展总场次354场。</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462" w:type="pct"/>
            <w:vAlign w:val="center"/>
          </w:tcPr>
          <w:p>
            <w:pPr>
              <w:pStyle w:val="4"/>
              <w:rPr>
                <w:rFonts w:hint="eastAsia" w:ascii="仿宋" w:hAnsi="仿宋" w:eastAsia="仿宋" w:cs="仿宋"/>
                <w:b w:val="0"/>
                <w:bCs w:val="0"/>
                <w:kern w:val="0"/>
                <w:sz w:val="28"/>
                <w:szCs w:val="28"/>
                <w:lang w:val="en-US" w:eastAsia="zh-CN" w:bidi="ar-SA"/>
              </w:rPr>
            </w:pPr>
            <w:r>
              <w:rPr>
                <w:rFonts w:hint="eastAsia" w:ascii="仿宋" w:hAnsi="仿宋" w:eastAsia="仿宋" w:cs="仿宋"/>
                <w:b w:val="0"/>
                <w:bCs w:val="0"/>
                <w:kern w:val="0"/>
                <w:sz w:val="28"/>
                <w:szCs w:val="28"/>
                <w:lang w:val="en-US" w:eastAsia="zh-CN" w:bidi="ar-SA"/>
              </w:rPr>
              <w:t>1.1.3服务内容：策划方案撰写、活动物料及设计制作、活动宣推、服务现场执行落地、服务成果反馈等各版块内容。</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462" w:type="pct"/>
            <w:vAlign w:val="center"/>
          </w:tcPr>
          <w:p>
            <w:pPr>
              <w:keepNext w:val="0"/>
              <w:keepLines w:val="0"/>
              <w:pageBreakBefore w:val="0"/>
              <w:widowControl w:val="0"/>
              <w:kinsoku/>
              <w:wordWrap/>
              <w:overflowPunct/>
              <w:topLinePunct w:val="0"/>
              <w:autoSpaceDE/>
              <w:autoSpaceDN/>
              <w:bidi w:val="0"/>
              <w:adjustRightInd/>
              <w:snapToGrid/>
              <w:spacing w:line="579" w:lineRule="exact"/>
              <w:ind w:left="0" w:leftChars="0"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1.2.1</w:t>
            </w:r>
            <w:r>
              <w:rPr>
                <w:rFonts w:hint="eastAsia" w:ascii="仿宋" w:hAnsi="仿宋" w:eastAsia="仿宋" w:cs="仿宋"/>
                <w:b w:val="0"/>
                <w:bCs w:val="0"/>
                <w:sz w:val="28"/>
                <w:szCs w:val="28"/>
                <w:lang w:val="en-US" w:eastAsia="zh-CN"/>
              </w:rPr>
              <w:t>活动前服务要求，我行当月将次月活动排期进行汇总并发送供应商。供应商须根据排期在活动开展前七个工作日提供当期活动方案并发送对应活动的设计图文。活动开展前五个工作日与承办机构对接活动细节，活动开展前两个工作日确认活动现场执行细则。</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5" w:hRule="atLeast"/>
        </w:trPr>
        <w:tc>
          <w:tcPr>
            <w:tcW w:w="2462" w:type="pct"/>
            <w:vAlign w:val="center"/>
          </w:tcPr>
          <w:p>
            <w:pPr>
              <w:pStyle w:val="2"/>
              <w:ind w:left="0" w:leftChars="0" w:firstLine="560" w:firstLineChars="200"/>
              <w:rPr>
                <w:rFonts w:hint="eastAsia" w:ascii="仿宋" w:hAnsi="仿宋" w:eastAsia="仿宋" w:cs="仿宋"/>
                <w:b w:val="0"/>
                <w:bCs w:val="0"/>
                <w:sz w:val="28"/>
                <w:szCs w:val="28"/>
              </w:rPr>
            </w:pPr>
            <w:r>
              <w:rPr>
                <w:rFonts w:hint="eastAsia" w:ascii="仿宋" w:hAnsi="仿宋" w:eastAsia="仿宋" w:cs="仿宋"/>
                <w:b w:val="0"/>
                <w:bCs w:val="0"/>
                <w:kern w:val="2"/>
                <w:sz w:val="28"/>
                <w:szCs w:val="28"/>
                <w:lang w:val="en-US" w:eastAsia="zh-CN" w:bidi="ar-SA"/>
              </w:rPr>
              <w:t>1.2.2活动中服务要求，活动人数30人以内的，供应商在现场至少有1-2名工作人员负责现场执行，活动人数30-100人的，活动现场至少有不低于5名工作人员负责现场执行。</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462" w:type="pct"/>
            <w:vAlign w:val="center"/>
          </w:tcPr>
          <w:p>
            <w:pPr>
              <w:pStyle w:val="4"/>
              <w:rPr>
                <w:rFonts w:hint="eastAsia" w:ascii="仿宋" w:hAnsi="仿宋" w:eastAsia="仿宋" w:cs="仿宋"/>
                <w:b w:val="0"/>
                <w:bCs w:val="0"/>
                <w:sz w:val="28"/>
                <w:szCs w:val="28"/>
              </w:rPr>
            </w:pPr>
            <w:r>
              <w:rPr>
                <w:rFonts w:hint="eastAsia" w:ascii="仿宋" w:hAnsi="仿宋" w:eastAsia="仿宋" w:cs="仿宋"/>
                <w:b w:val="0"/>
                <w:bCs w:val="0"/>
                <w:kern w:val="2"/>
                <w:sz w:val="28"/>
                <w:szCs w:val="28"/>
                <w:lang w:val="en-US" w:eastAsia="zh-CN" w:bidi="ar-SA"/>
              </w:rPr>
              <w:t>1.2.3活动后服务要求，提供符合我行要求的活动当期活动服务成果汇总。</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46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kern w:val="2"/>
                <w:sz w:val="28"/>
                <w:szCs w:val="28"/>
                <w:lang w:val="en-US" w:eastAsia="zh-CN" w:bidi="ar-SA"/>
              </w:rPr>
              <w:t>1.3.1企业成立年限三年及以上，近三年财务稳健，可稳定提供服务。</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46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w:t>
            </w:r>
            <w:r>
              <w:rPr>
                <w:rFonts w:hint="eastAsia" w:ascii="仿宋" w:hAnsi="仿宋" w:eastAsia="仿宋" w:cs="仿宋"/>
                <w:b w:val="0"/>
                <w:bCs w:val="0"/>
                <w:kern w:val="2"/>
                <w:sz w:val="28"/>
                <w:szCs w:val="28"/>
                <w:lang w:val="en-US" w:eastAsia="zh-CN" w:bidi="ar-SA"/>
              </w:rPr>
              <w:t>2供应商需在活动策划与执行领域拥有三年以上的行业经验，具备良好的品牌声誉，无重大负面新闻或客户投诉记录。</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46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w:t>
            </w:r>
            <w:r>
              <w:rPr>
                <w:rFonts w:hint="eastAsia" w:ascii="仿宋" w:hAnsi="仿宋" w:eastAsia="仿宋" w:cs="仿宋"/>
                <w:b w:val="0"/>
                <w:bCs w:val="0"/>
                <w:kern w:val="2"/>
                <w:sz w:val="28"/>
                <w:szCs w:val="28"/>
                <w:lang w:val="en-US" w:eastAsia="zh-CN" w:bidi="ar-SA"/>
              </w:rPr>
              <w:t>3 供应商应具备稳定的运营能力，确保能够承担大型活动的策划与执行。</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462" w:type="pct"/>
            <w:vAlign w:val="center"/>
          </w:tcPr>
          <w:p>
            <w:pPr>
              <w:pStyle w:val="4"/>
              <w:rPr>
                <w:rFonts w:hint="eastAsia" w:ascii="仿宋" w:hAnsi="仿宋" w:eastAsia="仿宋" w:cs="仿宋"/>
                <w:b w:val="0"/>
                <w:bCs w:val="0"/>
                <w:sz w:val="28"/>
                <w:szCs w:val="28"/>
                <w:lang w:eastAsia="zh-CN"/>
              </w:rPr>
            </w:pPr>
            <w:r>
              <w:rPr>
                <w:rFonts w:hint="eastAsia" w:ascii="仿宋" w:hAnsi="仿宋" w:eastAsia="仿宋" w:cs="仿宋"/>
                <w:b w:val="0"/>
                <w:bCs w:val="0"/>
                <w:kern w:val="2"/>
                <w:sz w:val="28"/>
                <w:szCs w:val="28"/>
                <w:lang w:val="en-US" w:eastAsia="zh-CN" w:bidi="ar-SA"/>
              </w:rPr>
              <w:t>1.3.4本项目配置团队核心成员不少于5人，包括项目经理、活动策划师、执行人员等。团队成员需具备相关领域丰富经验，特别擅长统筹规划、资源组织和策划实施具体服务。</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462"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560" w:firstLineChars="200"/>
              <w:textAlignment w:val="auto"/>
              <w:outlineLvl w:val="3"/>
              <w:rPr>
                <w:rFonts w:hint="eastAsia" w:ascii="仿宋" w:hAnsi="仿宋" w:eastAsia="仿宋" w:cs="仿宋"/>
                <w:b w:val="0"/>
                <w:bCs w:val="0"/>
                <w:sz w:val="28"/>
                <w:szCs w:val="28"/>
                <w:lang w:eastAsia="zh-CN"/>
              </w:rPr>
            </w:pPr>
            <w:r>
              <w:rPr>
                <w:rFonts w:hint="eastAsia" w:ascii="仿宋" w:hAnsi="仿宋" w:eastAsia="仿宋" w:cs="仿宋"/>
                <w:b w:val="0"/>
                <w:bCs w:val="0"/>
                <w:kern w:val="2"/>
                <w:sz w:val="28"/>
                <w:szCs w:val="28"/>
                <w:lang w:val="en-US" w:eastAsia="zh-CN" w:bidi="ar-SA"/>
              </w:rPr>
              <w:t>1.3.5具备2022年至今与20家国内系统重要性银行</w:t>
            </w:r>
            <w:r>
              <w:rPr>
                <w:rFonts w:hint="eastAsia" w:ascii="仿宋" w:hAnsi="仿宋" w:eastAsia="仿宋" w:cs="仿宋"/>
                <w:b w:val="0"/>
                <w:bCs w:val="0"/>
                <w:kern w:val="2"/>
                <w:sz w:val="28"/>
                <w:szCs w:val="28"/>
                <w:lang w:val="en-US" w:eastAsia="zh-CN" w:bidi="ar-SA"/>
              </w:rPr>
              <w:footnoteReference w:id="0"/>
            </w:r>
            <w:r>
              <w:rPr>
                <w:rFonts w:hint="eastAsia" w:ascii="仿宋" w:hAnsi="仿宋" w:eastAsia="仿宋" w:cs="仿宋"/>
                <w:b w:val="0"/>
                <w:bCs w:val="0"/>
                <w:kern w:val="2"/>
                <w:sz w:val="28"/>
                <w:szCs w:val="28"/>
                <w:lang w:val="en-US" w:eastAsia="zh-CN" w:bidi="ar-SA"/>
              </w:rPr>
              <w:t>分行级合作开展与本项目活动执行相似的成功案例（须提供相关案例合同证明材料，以合同签订日期为准）。</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pStyle w:val="2"/>
              <w:keepNext w:val="0"/>
              <w:keepLines w:val="0"/>
              <w:pageBreakBefore w:val="0"/>
              <w:widowControl w:val="0"/>
              <w:kinsoku/>
              <w:wordWrap/>
              <w:overflowPunct/>
              <w:bidi w:val="0"/>
              <w:snapToGrid/>
              <w:spacing w:after="0" w:line="579" w:lineRule="exact"/>
              <w:ind w:left="0" w:firstLine="560" w:firstLineChars="200"/>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2.1依法成立，为存续、在营、开业、在册、登记成立等正常企业状态。</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pStyle w:val="15"/>
              <w:keepNext w:val="0"/>
              <w:keepLines w:val="0"/>
              <w:pageBreakBefore w:val="0"/>
              <w:widowControl w:val="0"/>
              <w:kinsoku/>
              <w:wordWrap/>
              <w:overflowPunct/>
              <w:topLinePunct w:val="0"/>
              <w:autoSpaceDE/>
              <w:autoSpaceDN/>
              <w:bidi w:val="0"/>
              <w:adjustRightInd/>
              <w:snapToGrid/>
              <w:spacing w:line="579" w:lineRule="exact"/>
              <w:ind w:left="0" w:leftChars="0" w:firstLine="560" w:firstLineChars="200"/>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2.2在兴业银行开立对公账户，若中标本项目，则通过兴业银行对公账户结算该项目相关费用。</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560" w:firstLineChars="200"/>
              <w:textAlignment w:val="auto"/>
              <w:outlineLvl w:val="3"/>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2.3充分理解我行服务需求并能够根据需求提供相应的服务。</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560" w:firstLineChars="200"/>
              <w:textAlignment w:val="auto"/>
              <w:outlineLvl w:val="3"/>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2.4具有良好的商业</w:t>
            </w:r>
            <w:r>
              <w:rPr>
                <w:rFonts w:hint="eastAsia" w:ascii="仿宋" w:hAnsi="仿宋" w:eastAsia="仿宋" w:cs="仿宋"/>
                <w:b w:val="0"/>
                <w:bCs w:val="0"/>
                <w:kern w:val="2"/>
                <w:sz w:val="28"/>
                <w:szCs w:val="28"/>
                <w:lang w:val="en-US" w:eastAsia="zh-CN" w:bidi="ar-SA"/>
              </w:rPr>
              <w:fldChar w:fldCharType="begin"/>
            </w:r>
            <w:r>
              <w:rPr>
                <w:rFonts w:hint="eastAsia" w:ascii="仿宋" w:hAnsi="仿宋" w:eastAsia="仿宋" w:cs="仿宋"/>
                <w:b w:val="0"/>
                <w:bCs w:val="0"/>
                <w:kern w:val="2"/>
                <w:sz w:val="28"/>
                <w:szCs w:val="28"/>
                <w:lang w:val="en-US" w:eastAsia="zh-CN" w:bidi="ar-SA"/>
              </w:rPr>
              <w:instrText xml:space="preserve"> HYPERLINK "javascript:creditChatClick('%E4%BF%A1%E8%AA%89')" </w:instrText>
            </w:r>
            <w:r>
              <w:rPr>
                <w:rFonts w:hint="eastAsia" w:ascii="仿宋" w:hAnsi="仿宋" w:eastAsia="仿宋" w:cs="仿宋"/>
                <w:b w:val="0"/>
                <w:bCs w:val="0"/>
                <w:kern w:val="2"/>
                <w:sz w:val="28"/>
                <w:szCs w:val="28"/>
                <w:lang w:val="en-US" w:eastAsia="zh-CN" w:bidi="ar-SA"/>
              </w:rPr>
              <w:fldChar w:fldCharType="separate"/>
            </w:r>
            <w:r>
              <w:rPr>
                <w:rFonts w:hint="eastAsia" w:ascii="仿宋" w:hAnsi="仿宋" w:eastAsia="仿宋" w:cs="仿宋"/>
                <w:b w:val="0"/>
                <w:bCs w:val="0"/>
                <w:kern w:val="2"/>
                <w:sz w:val="28"/>
                <w:szCs w:val="28"/>
                <w:lang w:val="en-US" w:eastAsia="zh-CN" w:bidi="ar-SA"/>
              </w:rPr>
              <w:t>信誉</w:t>
            </w:r>
            <w:r>
              <w:rPr>
                <w:rFonts w:hint="eastAsia" w:ascii="仿宋" w:hAnsi="仿宋" w:eastAsia="仿宋" w:cs="仿宋"/>
                <w:b w:val="0"/>
                <w:bCs w:val="0"/>
                <w:kern w:val="2"/>
                <w:sz w:val="28"/>
                <w:szCs w:val="28"/>
                <w:lang w:val="en-US" w:eastAsia="zh-CN" w:bidi="ar-SA"/>
              </w:rPr>
              <w:fldChar w:fldCharType="end"/>
            </w:r>
            <w:r>
              <w:rPr>
                <w:rFonts w:hint="eastAsia" w:ascii="仿宋" w:hAnsi="仿宋" w:eastAsia="仿宋" w:cs="仿宋"/>
                <w:b w:val="0"/>
                <w:bCs w:val="0"/>
                <w:kern w:val="2"/>
                <w:sz w:val="28"/>
                <w:szCs w:val="28"/>
                <w:lang w:val="en-US" w:eastAsia="zh-CN" w:bidi="ar-SA"/>
              </w:rPr>
              <w:t>和财务情况。</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pStyle w:val="2"/>
              <w:keepNext w:val="0"/>
              <w:keepLines w:val="0"/>
              <w:pageBreakBefore w:val="0"/>
              <w:widowControl w:val="0"/>
              <w:kinsoku/>
              <w:wordWrap/>
              <w:overflowPunct/>
              <w:bidi w:val="0"/>
              <w:snapToGrid/>
              <w:spacing w:after="0" w:line="579" w:lineRule="exact"/>
              <w:ind w:left="0" w:firstLine="0"/>
              <w:textAlignment w:val="auto"/>
              <w:rPr>
                <w:rFonts w:hint="default"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2.5依法缴纳税收和社会保障资金。</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560" w:firstLineChars="200"/>
              <w:textAlignment w:val="auto"/>
              <w:outlineLvl w:val="3"/>
              <w:rPr>
                <w:rFonts w:hint="default"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2.6未被“</w:t>
            </w:r>
            <w:r>
              <w:rPr>
                <w:rFonts w:hint="eastAsia" w:ascii="仿宋" w:hAnsi="仿宋" w:eastAsia="仿宋" w:cs="仿宋"/>
                <w:b w:val="0"/>
                <w:bCs w:val="0"/>
                <w:kern w:val="2"/>
                <w:sz w:val="28"/>
                <w:szCs w:val="28"/>
                <w:lang w:val="en-US" w:eastAsia="zh-CN" w:bidi="ar-SA"/>
              </w:rPr>
              <w:fldChar w:fldCharType="begin"/>
            </w:r>
            <w:r>
              <w:rPr>
                <w:rFonts w:hint="eastAsia" w:ascii="仿宋" w:hAnsi="仿宋" w:eastAsia="仿宋" w:cs="仿宋"/>
                <w:b w:val="0"/>
                <w:bCs w:val="0"/>
                <w:kern w:val="2"/>
                <w:sz w:val="28"/>
                <w:szCs w:val="28"/>
                <w:lang w:val="en-US" w:eastAsia="zh-CN" w:bidi="ar-SA"/>
              </w:rPr>
              <w:instrText xml:space="preserve"> HYPERLINK "javascript:creditChatClick('%E4%BF%A1%E7%94%A8')" </w:instrText>
            </w:r>
            <w:r>
              <w:rPr>
                <w:rFonts w:hint="eastAsia" w:ascii="仿宋" w:hAnsi="仿宋" w:eastAsia="仿宋" w:cs="仿宋"/>
                <w:b w:val="0"/>
                <w:bCs w:val="0"/>
                <w:kern w:val="2"/>
                <w:sz w:val="28"/>
                <w:szCs w:val="28"/>
                <w:lang w:val="en-US" w:eastAsia="zh-CN" w:bidi="ar-SA"/>
              </w:rPr>
              <w:fldChar w:fldCharType="separate"/>
            </w:r>
            <w:r>
              <w:rPr>
                <w:rFonts w:hint="eastAsia" w:ascii="仿宋" w:hAnsi="仿宋" w:eastAsia="仿宋" w:cs="仿宋"/>
                <w:b w:val="0"/>
                <w:bCs w:val="0"/>
                <w:kern w:val="2"/>
                <w:sz w:val="28"/>
                <w:szCs w:val="28"/>
                <w:lang w:val="en-US" w:eastAsia="zh-CN" w:bidi="ar-SA"/>
              </w:rPr>
              <w:t>信用</w:t>
            </w:r>
            <w:r>
              <w:rPr>
                <w:rFonts w:hint="eastAsia" w:ascii="仿宋" w:hAnsi="仿宋" w:eastAsia="仿宋" w:cs="仿宋"/>
                <w:b w:val="0"/>
                <w:bCs w:val="0"/>
                <w:kern w:val="2"/>
                <w:sz w:val="28"/>
                <w:szCs w:val="28"/>
                <w:lang w:val="en-US" w:eastAsia="zh-CN" w:bidi="ar-SA"/>
              </w:rPr>
              <w:fldChar w:fldCharType="end"/>
            </w:r>
            <w:r>
              <w:rPr>
                <w:rFonts w:hint="eastAsia" w:ascii="仿宋" w:hAnsi="仿宋" w:eastAsia="仿宋" w:cs="仿宋"/>
                <w:b w:val="0"/>
                <w:bCs w:val="0"/>
                <w:kern w:val="2"/>
                <w:sz w:val="28"/>
                <w:szCs w:val="28"/>
                <w:lang w:val="en-US" w:eastAsia="zh-CN" w:bidi="ar-SA"/>
              </w:rPr>
              <w:t>中国”网列入“重大税收违法案件当事人名单”、未被“中国执行信息公开网”列入“</w:t>
            </w:r>
            <w:r>
              <w:rPr>
                <w:rFonts w:hint="eastAsia" w:ascii="仿宋" w:hAnsi="仿宋" w:eastAsia="仿宋" w:cs="仿宋"/>
                <w:b w:val="0"/>
                <w:bCs w:val="0"/>
                <w:kern w:val="2"/>
                <w:sz w:val="28"/>
                <w:szCs w:val="28"/>
                <w:lang w:val="en-US" w:eastAsia="zh-CN" w:bidi="ar-SA"/>
              </w:rPr>
              <w:fldChar w:fldCharType="begin"/>
            </w:r>
            <w:r>
              <w:rPr>
                <w:rFonts w:hint="eastAsia" w:ascii="仿宋" w:hAnsi="仿宋" w:eastAsia="仿宋" w:cs="仿宋"/>
                <w:b w:val="0"/>
                <w:bCs w:val="0"/>
                <w:kern w:val="2"/>
                <w:sz w:val="28"/>
                <w:szCs w:val="28"/>
                <w:lang w:val="en-US" w:eastAsia="zh-CN" w:bidi="ar-SA"/>
              </w:rPr>
              <w:instrText xml:space="preserve"> HYPERLINK "javascript:creditChatClick('%E5%A4%B1%E4%BF%A1')" </w:instrText>
            </w:r>
            <w:r>
              <w:rPr>
                <w:rFonts w:hint="eastAsia" w:ascii="仿宋" w:hAnsi="仿宋" w:eastAsia="仿宋" w:cs="仿宋"/>
                <w:b w:val="0"/>
                <w:bCs w:val="0"/>
                <w:kern w:val="2"/>
                <w:sz w:val="28"/>
                <w:szCs w:val="28"/>
                <w:lang w:val="en-US" w:eastAsia="zh-CN" w:bidi="ar-SA"/>
              </w:rPr>
              <w:fldChar w:fldCharType="separate"/>
            </w:r>
            <w:r>
              <w:rPr>
                <w:rFonts w:hint="eastAsia" w:ascii="仿宋" w:hAnsi="仿宋" w:eastAsia="仿宋" w:cs="仿宋"/>
                <w:b w:val="0"/>
                <w:bCs w:val="0"/>
                <w:kern w:val="2"/>
                <w:sz w:val="28"/>
                <w:szCs w:val="28"/>
                <w:lang w:val="en-US" w:eastAsia="zh-CN" w:bidi="ar-SA"/>
              </w:rPr>
              <w:t>失信</w:t>
            </w:r>
            <w:r>
              <w:rPr>
                <w:rFonts w:hint="eastAsia" w:ascii="仿宋" w:hAnsi="仿宋" w:eastAsia="仿宋" w:cs="仿宋"/>
                <w:b w:val="0"/>
                <w:bCs w:val="0"/>
                <w:kern w:val="2"/>
                <w:sz w:val="28"/>
                <w:szCs w:val="28"/>
                <w:lang w:val="en-US" w:eastAsia="zh-CN" w:bidi="ar-SA"/>
              </w:rPr>
              <w:fldChar w:fldCharType="end"/>
            </w:r>
            <w:r>
              <w:rPr>
                <w:rFonts w:hint="eastAsia" w:ascii="仿宋" w:hAnsi="仿宋" w:eastAsia="仿宋" w:cs="仿宋"/>
                <w:b w:val="0"/>
                <w:bCs w:val="0"/>
                <w:kern w:val="2"/>
                <w:sz w:val="28"/>
                <w:szCs w:val="28"/>
                <w:lang w:val="en-US" w:eastAsia="zh-CN" w:bidi="ar-SA"/>
              </w:rPr>
              <w:t>被执行人名单”、未被“中国政府采购网”列入“政府采购严重违法失信行为信息记录名单”、未被“国家企业信用信息公示系统”列入网站“严重违法失信企业名单”，不在兴业银行供应商禁用/退出期内。</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560" w:firstLineChars="200"/>
              <w:textAlignment w:val="auto"/>
              <w:outlineLvl w:val="3"/>
              <w:rPr>
                <w:rFonts w:hint="default"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2.7经营范围经国家行政管理部门依法批准，同时获得从事行业有效执业证明、行政许可、专业资质等证照。</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62"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560" w:firstLineChars="200"/>
              <w:textAlignment w:val="auto"/>
              <w:outlineLvl w:val="3"/>
              <w:rPr>
                <w:rFonts w:hint="default"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2.8两年内目标服务领域未出现严重安全事件。</w:t>
            </w:r>
          </w:p>
        </w:tc>
        <w:tc>
          <w:tcPr>
            <w:tcW w:w="940"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1597"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i w:val="0"/>
                <w:iCs w:val="0"/>
                <w:sz w:val="28"/>
                <w:szCs w:val="28"/>
                <w:lang w:val="en-US" w:eastAsia="zh-CN"/>
              </w:rPr>
              <w:t>央企</w:t>
            </w:r>
            <w:r>
              <w:rPr>
                <w:rFonts w:hint="eastAsia" w:ascii="仿宋" w:hAnsi="仿宋" w:eastAsia="仿宋" w:cs="仿宋"/>
                <w:i w:val="0"/>
                <w:iCs w:val="0"/>
                <w:sz w:val="28"/>
                <w:szCs w:val="28"/>
              </w:rPr>
              <w:t>/</w:t>
            </w:r>
            <w:r>
              <w:rPr>
                <w:rFonts w:hint="eastAsia" w:ascii="仿宋" w:hAnsi="仿宋" w:eastAsia="仿宋" w:cs="仿宋"/>
                <w:i w:val="0"/>
                <w:iCs w:val="0"/>
                <w:sz w:val="28"/>
                <w:szCs w:val="28"/>
                <w:lang w:val="en-US" w:eastAsia="zh-CN"/>
              </w:rPr>
              <w:t>国有控股企业/国有参股企业/国有企业/外资企业</w:t>
            </w:r>
            <w:r>
              <w:rPr>
                <w:rFonts w:hint="eastAsia" w:ascii="仿宋" w:hAnsi="仿宋" w:eastAsia="仿宋" w:cs="仿宋"/>
                <w:i w:val="0"/>
                <w:iCs w:val="0"/>
                <w:sz w:val="28"/>
                <w:szCs w:val="28"/>
              </w:rPr>
              <w:t>/</w:t>
            </w:r>
            <w:r>
              <w:rPr>
                <w:rFonts w:hint="eastAsia" w:ascii="仿宋" w:hAnsi="仿宋" w:eastAsia="仿宋" w:cs="仿宋"/>
                <w:i w:val="0"/>
                <w:iCs w:val="0"/>
                <w:sz w:val="28"/>
                <w:szCs w:val="28"/>
                <w:lang w:val="en-US" w:eastAsia="zh-CN"/>
              </w:rPr>
              <w:t>港资企业/台资企业/民营</w:t>
            </w:r>
            <w:r>
              <w:rPr>
                <w:rFonts w:hint="eastAsia" w:ascii="仿宋" w:hAnsi="仿宋" w:eastAsia="仿宋" w:cs="仿宋"/>
                <w:i w:val="0"/>
                <w:iCs w:val="0"/>
                <w:sz w:val="28"/>
                <w:szCs w:val="28"/>
              </w:rPr>
              <w:t>企业/中外合资企业/</w:t>
            </w:r>
            <w:r>
              <w:rPr>
                <w:rFonts w:hint="eastAsia" w:ascii="仿宋" w:hAnsi="仿宋" w:eastAsia="仿宋" w:cs="仿宋"/>
                <w:i w:val="0"/>
                <w:iCs w:val="0"/>
                <w:sz w:val="28"/>
                <w:szCs w:val="28"/>
                <w:lang w:val="en-US" w:eastAsia="zh-CN"/>
              </w:rPr>
              <w:t>境外企业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13"/>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5.近三年经审计的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bCs/>
          <w:color w:val="FF0000"/>
          <w:sz w:val="32"/>
          <w:szCs w:val="32"/>
          <w:highlight w:val="yellow"/>
        </w:rPr>
      </w:pP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22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至今</w:t>
      </w:r>
      <w:r>
        <w:rPr>
          <w:rFonts w:hint="eastAsia" w:ascii="仿宋" w:hAnsi="仿宋" w:eastAsia="仿宋" w:cs="仿宋"/>
          <w:sz w:val="32"/>
          <w:szCs w:val="32"/>
          <w:highlight w:val="none"/>
        </w:rPr>
        <w:t>与20家国内系统重要性银行</w:t>
      </w:r>
      <w:r>
        <w:rPr>
          <w:rFonts w:hint="eastAsia" w:ascii="仿宋" w:hAnsi="仿宋" w:eastAsia="仿宋" w:cs="仿宋"/>
          <w:i w:val="0"/>
          <w:iCs w:val="0"/>
          <w:sz w:val="32"/>
          <w:szCs w:val="32"/>
          <w:highlight w:val="none"/>
          <w:lang w:val="en-US" w:eastAsia="zh-CN"/>
        </w:rPr>
        <w:t>分行级</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本项目活动执行</w:t>
      </w:r>
      <w:r>
        <w:rPr>
          <w:rFonts w:hint="eastAsia" w:ascii="仿宋" w:hAnsi="仿宋" w:eastAsia="仿宋" w:cs="仿宋"/>
          <w:sz w:val="32"/>
          <w:szCs w:val="32"/>
          <w:highlight w:val="none"/>
        </w:rPr>
        <w:t>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r>
        <w:rPr>
          <w:rFonts w:hint="eastAsia" w:ascii="仿宋" w:hAnsi="仿宋" w:eastAsia="仿宋" w:cs="仿宋"/>
          <w:b w:val="0"/>
          <w:bCs w:val="0"/>
          <w:sz w:val="32"/>
          <w:szCs w:val="32"/>
        </w:rPr>
        <w:t>情况：</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lang w:val="en-US" w:eastAsia="zh-CN"/>
              </w:rPr>
              <w:t>四川省分行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与本项目相关的合同关键页未提供，统一认定为无效案例，如公告有对关键内容需要，须标示）。材料详见如下：</w:t>
      </w:r>
    </w:p>
    <w:p>
      <w:pPr>
        <w:keepNext w:val="0"/>
        <w:keepLines w:val="0"/>
        <w:pageBreakBefore w:val="0"/>
        <w:widowControl w:val="0"/>
        <w:kinsoku/>
        <w:wordWrap/>
        <w:overflowPunct/>
        <w:topLinePunct w:val="0"/>
        <w:autoSpaceDE/>
        <w:autoSpaceDN/>
        <w:bidi w:val="0"/>
        <w:adjustRightInd/>
        <w:snapToGrid/>
        <w:spacing w:line="579" w:lineRule="exact"/>
        <w:textAlignment w:val="auto"/>
        <w:outlineLvl w:val="1"/>
        <w:rPr>
          <w:rFonts w:hint="eastAsia" w:ascii="黑体" w:hAnsi="黑体" w:eastAsia="黑体" w:cs="黑体"/>
          <w:b w:val="0"/>
          <w:bCs/>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default" w:ascii="仿宋" w:hAnsi="仿宋" w:eastAsia="仿宋" w:cs="仿宋"/>
                <w:b/>
                <w:bCs/>
                <w:i w:val="0"/>
                <w:iCs w:val="0"/>
                <w:color w:val="000000"/>
                <w:sz w:val="28"/>
                <w:szCs w:val="28"/>
                <w:u w:val="none"/>
                <w:lang w:val="en-US"/>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与兴业银行合作情况（相关情况无需提供合同证明材料）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pStyle w:val="2"/>
        <w:ind w:left="0" w:leftChars="0" w:firstLine="0" w:firstLineChars="0"/>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keepNext w:val="0"/>
        <w:keepLines w:val="0"/>
        <w:pageBreakBefore w:val="0"/>
        <w:widowControl w:val="0"/>
        <w:kinsoku/>
        <w:wordWrap/>
        <w:overflowPunct/>
        <w:topLinePunct/>
        <w:autoSpaceDE/>
        <w:autoSpaceDN/>
        <w:bidi w:val="0"/>
        <w:adjustRightInd/>
        <w:snapToGrid w:val="0"/>
        <w:spacing w:line="440" w:lineRule="exact"/>
        <w:textAlignment w:val="auto"/>
        <w:rPr>
          <w:rStyle w:val="12"/>
          <w:rFonts w:hint="eastAsia" w:ascii="宋体" w:hAnsi="宋体" w:eastAsia="宋体" w:cs="宋体"/>
          <w:sz w:val="21"/>
          <w:szCs w:val="21"/>
          <w:vertAlign w:val="baseline"/>
          <w:lang w:val="en-US" w:eastAsia="zh-CN"/>
        </w:rPr>
      </w:pPr>
      <w:r>
        <w:rPr>
          <w:rStyle w:val="12"/>
          <w:rFonts w:hint="eastAsia" w:ascii="宋体" w:hAnsi="宋体" w:eastAsia="宋体" w:cs="宋体"/>
          <w:sz w:val="28"/>
          <w:szCs w:val="28"/>
        </w:rPr>
        <w:footnoteRef/>
      </w:r>
      <w:r>
        <w:rPr>
          <w:rStyle w:val="12"/>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2"/>
          <w:rFonts w:hint="eastAsia" w:ascii="宋体" w:hAnsi="宋体" w:eastAsia="宋体" w:cs="宋体"/>
          <w:sz w:val="21"/>
          <w:szCs w:val="21"/>
          <w:vertAlign w:val="baseline"/>
        </w:rPr>
        <w:t>招商、兴业、中信、浦发、光大、民生、平安、华夏、广发、宁波、江苏、上海、北京、南京</w:t>
      </w:r>
      <w:r>
        <w:rPr>
          <w:rFonts w:hint="eastAsia" w:ascii="宋体" w:hAnsi="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4A77E74"/>
    <w:rsid w:val="05E90989"/>
    <w:rsid w:val="074B0DF6"/>
    <w:rsid w:val="080676D1"/>
    <w:rsid w:val="0BD21F85"/>
    <w:rsid w:val="0C787AEA"/>
    <w:rsid w:val="0CD73E66"/>
    <w:rsid w:val="0DED7F9F"/>
    <w:rsid w:val="0F883A8C"/>
    <w:rsid w:val="11161E90"/>
    <w:rsid w:val="12EE3177"/>
    <w:rsid w:val="13DD0D7A"/>
    <w:rsid w:val="15020061"/>
    <w:rsid w:val="16761996"/>
    <w:rsid w:val="18717993"/>
    <w:rsid w:val="1BC71F34"/>
    <w:rsid w:val="1C556C05"/>
    <w:rsid w:val="21E77F04"/>
    <w:rsid w:val="221F4A47"/>
    <w:rsid w:val="233C4EB8"/>
    <w:rsid w:val="28C5030E"/>
    <w:rsid w:val="28E0733D"/>
    <w:rsid w:val="29FB1C38"/>
    <w:rsid w:val="2CCF3AD9"/>
    <w:rsid w:val="31194100"/>
    <w:rsid w:val="31490F4D"/>
    <w:rsid w:val="31A14391"/>
    <w:rsid w:val="31A22E6F"/>
    <w:rsid w:val="34DF7AE6"/>
    <w:rsid w:val="364F2D17"/>
    <w:rsid w:val="365B1D40"/>
    <w:rsid w:val="36957939"/>
    <w:rsid w:val="371C5413"/>
    <w:rsid w:val="3ABC0EB9"/>
    <w:rsid w:val="3ACD1C57"/>
    <w:rsid w:val="3B8E167E"/>
    <w:rsid w:val="3DEC1C77"/>
    <w:rsid w:val="3EBC65F0"/>
    <w:rsid w:val="407D624A"/>
    <w:rsid w:val="43384792"/>
    <w:rsid w:val="43851E88"/>
    <w:rsid w:val="43AA4F5F"/>
    <w:rsid w:val="467378B5"/>
    <w:rsid w:val="49E240FE"/>
    <w:rsid w:val="4A32674D"/>
    <w:rsid w:val="4DE66743"/>
    <w:rsid w:val="4EDA5C6F"/>
    <w:rsid w:val="503B1E49"/>
    <w:rsid w:val="52370FF1"/>
    <w:rsid w:val="553431FA"/>
    <w:rsid w:val="581F6F47"/>
    <w:rsid w:val="594F1726"/>
    <w:rsid w:val="5966279D"/>
    <w:rsid w:val="5B8C3DF2"/>
    <w:rsid w:val="5DAB6DF8"/>
    <w:rsid w:val="5ED6232D"/>
    <w:rsid w:val="5F7A6E85"/>
    <w:rsid w:val="606837C7"/>
    <w:rsid w:val="662A6846"/>
    <w:rsid w:val="686865C6"/>
    <w:rsid w:val="69283589"/>
    <w:rsid w:val="6D6514C5"/>
    <w:rsid w:val="6EA92C93"/>
    <w:rsid w:val="718B2854"/>
    <w:rsid w:val="72F34956"/>
    <w:rsid w:val="739850AA"/>
    <w:rsid w:val="76B02117"/>
    <w:rsid w:val="77EE4AA3"/>
    <w:rsid w:val="79286E08"/>
    <w:rsid w:val="79330017"/>
    <w:rsid w:val="7B0B0CB8"/>
    <w:rsid w:val="7E707293"/>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snapToGrid w:val="0"/>
      <w:jc w:val="left"/>
    </w:pPr>
    <w:rPr>
      <w:sz w:val="18"/>
    </w:rPr>
  </w:style>
  <w:style w:type="paragraph" w:styleId="8">
    <w:name w:val="HTML Preformatted"/>
    <w:basedOn w:val="1"/>
    <w:semiHidden/>
    <w:qFormat/>
    <w:uiPriority w:val="0"/>
    <w:pPr>
      <w:topLinePunct w:val="0"/>
    </w:pPr>
    <w:rPr>
      <w:rFonts w:ascii="Courier New" w:hAnsi="Courier New" w:cs="Courier New"/>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otnote reference"/>
    <w:basedOn w:val="11"/>
    <w:qFormat/>
    <w:uiPriority w:val="0"/>
    <w:rPr>
      <w:rFonts w:ascii="仿宋_GB2312" w:hAnsi="仿宋"/>
      <w:bCs/>
      <w:color w:val="000000"/>
      <w:szCs w:val="28"/>
      <w:vertAlign w:val="superscript"/>
    </w:rPr>
  </w:style>
  <w:style w:type="paragraph" w:customStyle="1" w:styleId="13">
    <w:name w:val="正文首行缩进 21"/>
    <w:basedOn w:val="14"/>
    <w:qFormat/>
    <w:uiPriority w:val="0"/>
    <w:pPr>
      <w:widowControl/>
      <w:ind w:firstLine="420"/>
    </w:pPr>
    <w:rPr>
      <w:szCs w:val="20"/>
    </w:rPr>
  </w:style>
  <w:style w:type="paragraph" w:customStyle="1" w:styleId="14">
    <w:name w:val="正文文本缩进1"/>
    <w:basedOn w:val="1"/>
    <w:qFormat/>
    <w:uiPriority w:val="0"/>
    <w:pPr>
      <w:spacing w:line="500" w:lineRule="exact"/>
      <w:ind w:firstLine="880"/>
    </w:pPr>
    <w:rPr>
      <w:szCs w:val="22"/>
    </w:rPr>
  </w:style>
  <w:style w:type="paragraph" w:styleId="15">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任鸣明</cp:lastModifiedBy>
  <dcterms:modified xsi:type="dcterms:W3CDTF">2025-06-27T01:24:33Z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