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28C005">
      <w:pPr>
        <w:spacing w:line="480" w:lineRule="auto"/>
        <w:ind w:firstLine="480" w:firstLineChars="200"/>
        <w:rPr>
          <w:rFonts w:ascii="宋体" w:hAnsi="宋体" w:cs="仿宋"/>
          <w:color w:val="auto"/>
          <w:sz w:val="24"/>
        </w:rPr>
      </w:pPr>
      <w:r>
        <w:rPr>
          <w:rFonts w:hint="eastAsia" w:ascii="宋体" w:hAnsi="宋体" w:cs="仿宋"/>
          <w:color w:val="auto"/>
          <w:sz w:val="24"/>
        </w:rPr>
        <w:t>一、</w:t>
      </w:r>
      <w:r>
        <w:rPr>
          <w:rFonts w:ascii="宋体" w:hAnsi="宋体" w:cs="仿宋"/>
          <w:color w:val="auto"/>
          <w:sz w:val="24"/>
        </w:rPr>
        <w:t>项目概况</w:t>
      </w:r>
    </w:p>
    <w:p w14:paraId="195CCCAB">
      <w:pPr>
        <w:spacing w:line="480" w:lineRule="auto"/>
        <w:ind w:firstLine="480" w:firstLineChars="200"/>
        <w:rPr>
          <w:rFonts w:ascii="宋体" w:hAnsi="宋体" w:cs="仿宋"/>
          <w:color w:val="auto"/>
          <w:sz w:val="24"/>
        </w:rPr>
      </w:pPr>
      <w:r>
        <w:rPr>
          <w:rFonts w:hint="eastAsia" w:ascii="宋体" w:hAnsi="宋体" w:cs="仿宋"/>
          <w:color w:val="auto"/>
          <w:sz w:val="24"/>
        </w:rPr>
        <w:t>1.</w:t>
      </w:r>
      <w:r>
        <w:rPr>
          <w:rFonts w:ascii="宋体" w:hAnsi="宋体" w:cs="仿宋"/>
          <w:color w:val="auto"/>
          <w:sz w:val="24"/>
        </w:rPr>
        <w:t>项目名称：</w:t>
      </w:r>
      <w:r>
        <w:rPr>
          <w:rFonts w:hint="eastAsia" w:ascii="宋体" w:hAnsi="宋体" w:cs="仿宋"/>
          <w:color w:val="auto"/>
          <w:sz w:val="24"/>
        </w:rPr>
        <w:t>龙潭乡红心村管网延伸供水工程。</w:t>
      </w:r>
    </w:p>
    <w:p w14:paraId="3E39847F">
      <w:pPr>
        <w:spacing w:line="480" w:lineRule="auto"/>
        <w:ind w:firstLine="480" w:firstLineChars="200"/>
        <w:rPr>
          <w:rFonts w:ascii="宋体" w:hAnsi="宋体" w:cs="仿宋"/>
          <w:color w:val="auto"/>
          <w:sz w:val="24"/>
        </w:rPr>
      </w:pPr>
      <w:r>
        <w:rPr>
          <w:rFonts w:hint="eastAsia" w:ascii="宋体" w:hAnsi="宋体" w:cs="仿宋"/>
          <w:color w:val="auto"/>
          <w:sz w:val="24"/>
        </w:rPr>
        <w:t>2.</w:t>
      </w:r>
      <w:r>
        <w:rPr>
          <w:rFonts w:ascii="宋体" w:hAnsi="宋体" w:cs="仿宋"/>
          <w:color w:val="auto"/>
          <w:sz w:val="24"/>
        </w:rPr>
        <w:t>工程地址：</w:t>
      </w:r>
      <w:r>
        <w:rPr>
          <w:rFonts w:hint="eastAsia" w:ascii="宋体" w:hAnsi="宋体" w:cs="仿宋"/>
          <w:color w:val="auto"/>
          <w:sz w:val="24"/>
        </w:rPr>
        <w:t>龙潭乡红心村</w:t>
      </w:r>
      <w:r>
        <w:rPr>
          <w:rFonts w:ascii="宋体" w:hAnsi="宋体" w:cs="仿宋"/>
          <w:color w:val="auto"/>
          <w:sz w:val="24"/>
        </w:rPr>
        <w:t>。</w:t>
      </w:r>
    </w:p>
    <w:p w14:paraId="7089350C">
      <w:pPr>
        <w:spacing w:line="480" w:lineRule="auto"/>
        <w:ind w:firstLine="480" w:firstLineChars="200"/>
        <w:rPr>
          <w:rFonts w:hint="eastAsia" w:ascii="宋体" w:hAnsi="宋体" w:cs="仿宋"/>
          <w:color w:val="auto"/>
          <w:sz w:val="24"/>
        </w:rPr>
      </w:pPr>
      <w:r>
        <w:rPr>
          <w:rFonts w:hint="eastAsia" w:ascii="宋体" w:hAnsi="宋体" w:cs="仿宋"/>
          <w:color w:val="auto"/>
          <w:sz w:val="24"/>
        </w:rPr>
        <w:t>3.</w:t>
      </w:r>
      <w:r>
        <w:rPr>
          <w:rFonts w:ascii="宋体" w:hAnsi="宋体" w:cs="仿宋"/>
          <w:color w:val="auto"/>
          <w:sz w:val="24"/>
        </w:rPr>
        <w:t>主要建设内容：</w:t>
      </w:r>
      <w:r>
        <w:rPr>
          <w:rFonts w:hint="eastAsia" w:ascii="宋体" w:hAnsi="宋体" w:cs="仿宋"/>
          <w:color w:val="auto"/>
          <w:sz w:val="24"/>
        </w:rPr>
        <w:t>红心村管网延伸供水，共划分为2个片区，1、其中柏佛片区主要建设内容为输水管道1条，提水管道3条，1条配水主管，21条配水支管，3座加压泵站，1座高位水池，4座配水池。输水管道长12598m;其中DN125PE管，1.25MPa,长2468m,DN90PE管，1.6MPa,长4085m,DN75PE管，1.6MPa,长6045m,新建100m3配水池2座，50m3配水池3座，配水主管采用DN63PE管，1.6MPa,长2738m;配水支管采用DN40、32PE管，1.6MPa,管道总长18530m,入户管道5400m。2、桃园片区主要建设内容为输水管道2条，提水管道1条，2条配水主管，1座加压泵站，1座高位水池，1座配水池。2#输水管道采用DN90PE管，1.6MPa长3716m;3#输水管道采用DN75PE管，1.6MPa,长4279m。配水配水管道采用DN50、40PE管，1.6MPa,管道总长3169m;同时在3#输水管道吴家口附近设置1座加压泵站，提水至6#蓄水池(吴家口)容积50m3,提水管道采用DN50PE管，1.6MPa,长358m;根据现场实际情况考虑3500m入户管道的维修更换。详见本项目施工图纸（如有）和工程量清单</w:t>
      </w:r>
      <w:r>
        <w:rPr>
          <w:rFonts w:ascii="宋体" w:hAnsi="宋体" w:cs="仿宋"/>
          <w:color w:val="auto"/>
          <w:sz w:val="24"/>
        </w:rPr>
        <w:t>。</w:t>
      </w:r>
      <w:r>
        <w:rPr>
          <w:rFonts w:hint="eastAsia" w:ascii="宋体" w:hAnsi="宋体" w:cs="仿宋"/>
          <w:color w:val="auto"/>
          <w:sz w:val="24"/>
        </w:rPr>
        <w:t xml:space="preserve">   </w:t>
      </w:r>
    </w:p>
    <w:p w14:paraId="6D7A0942">
      <w:pPr>
        <w:spacing w:line="480" w:lineRule="auto"/>
        <w:ind w:firstLine="480" w:firstLineChars="200"/>
        <w:rPr>
          <w:rFonts w:hint="eastAsia" w:ascii="宋体" w:hAnsi="宋体" w:cs="仿宋"/>
          <w:color w:val="auto"/>
          <w:sz w:val="24"/>
        </w:rPr>
      </w:pPr>
      <w:r>
        <w:rPr>
          <w:rFonts w:hint="eastAsia" w:ascii="宋体" w:hAnsi="宋体" w:cs="仿宋"/>
          <w:color w:val="auto"/>
          <w:sz w:val="24"/>
        </w:rPr>
        <w:t>4.本项目所属行业为:建筑业。</w:t>
      </w:r>
    </w:p>
    <w:p w14:paraId="3703A7DC">
      <w:pPr>
        <w:spacing w:line="480" w:lineRule="auto"/>
        <w:ind w:firstLine="480" w:firstLineChars="200"/>
        <w:rPr>
          <w:rFonts w:hint="eastAsia" w:ascii="宋体" w:hAnsi="宋体" w:cs="仿宋"/>
          <w:color w:val="auto"/>
          <w:sz w:val="24"/>
        </w:rPr>
      </w:pPr>
      <w:r>
        <w:rPr>
          <w:rFonts w:hint="eastAsia" w:ascii="宋体" w:hAnsi="宋体" w:cs="仿宋"/>
          <w:color w:val="auto"/>
          <w:sz w:val="24"/>
        </w:rPr>
        <w:t>二、 技术、服务标准和要求</w:t>
      </w:r>
    </w:p>
    <w:p w14:paraId="61A5053E">
      <w:pPr>
        <w:spacing w:line="480" w:lineRule="auto"/>
        <w:ind w:firstLine="480" w:firstLineChars="200"/>
        <w:rPr>
          <w:rFonts w:ascii="宋体" w:hAnsi="宋体" w:cs="仿宋"/>
          <w:color w:val="auto"/>
          <w:sz w:val="24"/>
        </w:rPr>
      </w:pPr>
      <w:r>
        <w:rPr>
          <w:rFonts w:hint="eastAsia" w:ascii="宋体" w:hAnsi="宋体" w:cs="仿宋"/>
          <w:color w:val="auto"/>
          <w:sz w:val="24"/>
        </w:rPr>
        <w:t>1.技术质量标准</w:t>
      </w:r>
    </w:p>
    <w:p w14:paraId="224BBE95">
      <w:pPr>
        <w:spacing w:line="480" w:lineRule="auto"/>
        <w:ind w:firstLine="480" w:firstLineChars="200"/>
        <w:rPr>
          <w:rFonts w:ascii="宋体" w:hAnsi="宋体" w:cs="仿宋"/>
          <w:color w:val="auto"/>
          <w:sz w:val="24"/>
        </w:rPr>
      </w:pPr>
      <w:r>
        <w:rPr>
          <w:rFonts w:hint="eastAsia" w:ascii="宋体" w:hAnsi="宋体" w:cs="仿宋"/>
          <w:color w:val="auto"/>
          <w:sz w:val="24"/>
        </w:rPr>
        <w:t>1.1工程技术满足施工图纸、工程量清单及现行国家、行业与本项目相关的技术标准和要求；</w:t>
      </w:r>
    </w:p>
    <w:p w14:paraId="3B603000">
      <w:pPr>
        <w:spacing w:line="480" w:lineRule="auto"/>
        <w:ind w:firstLine="480" w:firstLineChars="200"/>
        <w:rPr>
          <w:rFonts w:ascii="宋体" w:hAnsi="宋体" w:cs="仿宋"/>
          <w:color w:val="auto"/>
          <w:sz w:val="24"/>
        </w:rPr>
      </w:pPr>
      <w:r>
        <w:rPr>
          <w:rFonts w:hint="eastAsia" w:ascii="宋体" w:hAnsi="宋体" w:cs="仿宋"/>
          <w:color w:val="auto"/>
          <w:sz w:val="24"/>
        </w:rPr>
        <w:t>1.2工程质量满足设计、施工、验收规范要求，符合现行国家、行业与本项目相关的规范要求，并通过相关部门验收合格；</w:t>
      </w:r>
      <w:bookmarkStart w:id="0" w:name="_GoBack"/>
      <w:bookmarkEnd w:id="0"/>
    </w:p>
    <w:p w14:paraId="394B8F76">
      <w:pPr>
        <w:spacing w:line="480" w:lineRule="auto"/>
        <w:ind w:firstLine="480" w:firstLineChars="200"/>
        <w:rPr>
          <w:rFonts w:ascii="宋体" w:hAnsi="宋体" w:cs="仿宋"/>
          <w:color w:val="auto"/>
          <w:sz w:val="24"/>
        </w:rPr>
      </w:pPr>
      <w:r>
        <w:rPr>
          <w:rFonts w:hint="eastAsia" w:ascii="宋体" w:hAnsi="宋体" w:cs="仿宋"/>
          <w:color w:val="auto"/>
          <w:sz w:val="24"/>
        </w:rPr>
        <w:t>1.3工程使用的材料符合国家标准、行业标准，并按规定送检。</w:t>
      </w:r>
    </w:p>
    <w:p w14:paraId="3114DC65">
      <w:pPr>
        <w:spacing w:line="480" w:lineRule="auto"/>
        <w:ind w:firstLine="480" w:firstLineChars="200"/>
        <w:rPr>
          <w:rFonts w:ascii="宋体" w:hAnsi="宋体" w:cs="仿宋"/>
          <w:color w:val="auto"/>
          <w:sz w:val="24"/>
        </w:rPr>
      </w:pPr>
      <w:r>
        <w:rPr>
          <w:rFonts w:hint="eastAsia" w:ascii="宋体" w:hAnsi="宋体" w:cs="仿宋"/>
          <w:color w:val="auto"/>
          <w:sz w:val="24"/>
        </w:rPr>
        <w:t>1.4供应商针对本项目的施工，应达到国家及行业现行技术规范标准，符合国家及行业验收合格标准。</w:t>
      </w:r>
    </w:p>
    <w:p w14:paraId="6E6E153E">
      <w:pPr>
        <w:spacing w:line="480" w:lineRule="auto"/>
        <w:ind w:firstLine="480" w:firstLineChars="200"/>
        <w:rPr>
          <w:rFonts w:ascii="宋体" w:hAnsi="宋体" w:cs="仿宋"/>
          <w:color w:val="auto"/>
          <w:sz w:val="24"/>
        </w:rPr>
      </w:pPr>
      <w:r>
        <w:rPr>
          <w:rFonts w:hint="eastAsia" w:ascii="宋体" w:hAnsi="宋体" w:cs="仿宋"/>
          <w:color w:val="auto"/>
          <w:sz w:val="24"/>
        </w:rPr>
        <w:t>2.施工管理</w:t>
      </w:r>
    </w:p>
    <w:p w14:paraId="4608454E">
      <w:pPr>
        <w:spacing w:line="480" w:lineRule="auto"/>
        <w:ind w:firstLine="480" w:firstLineChars="200"/>
        <w:rPr>
          <w:rFonts w:ascii="宋体" w:hAnsi="宋体" w:cs="仿宋"/>
          <w:color w:val="auto"/>
          <w:sz w:val="24"/>
        </w:rPr>
      </w:pPr>
      <w:r>
        <w:rPr>
          <w:rFonts w:hint="eastAsia" w:ascii="宋体" w:hAnsi="宋体" w:cs="仿宋"/>
          <w:color w:val="auto"/>
          <w:sz w:val="24"/>
        </w:rPr>
        <w:t>2.1本项目严格实行压证施工制度，压证人员项目经理，在工程竣工验收合格后退还；在项目施工期间，项目班子人员做到每天到场并接受采购人不定期检查和考核，如采购人检查时发现项目班子人员不在现场，采购人按照相关规定进行处罚。</w:t>
      </w:r>
    </w:p>
    <w:p w14:paraId="63BBE9BD">
      <w:pPr>
        <w:spacing w:line="480" w:lineRule="auto"/>
        <w:ind w:firstLine="480" w:firstLineChars="200"/>
        <w:rPr>
          <w:rFonts w:ascii="宋体" w:hAnsi="宋体" w:cs="仿宋"/>
          <w:color w:val="auto"/>
          <w:sz w:val="24"/>
        </w:rPr>
      </w:pPr>
      <w:r>
        <w:rPr>
          <w:rFonts w:hint="eastAsia" w:ascii="宋体" w:hAnsi="宋体" w:cs="仿宋"/>
          <w:color w:val="auto"/>
          <w:sz w:val="24"/>
        </w:rPr>
        <w:t>2.2漏项工程处理：施工过程中，发现工程量清单存在漏项工程的，该漏项工程作为本项目本章采购需求的组成部分，采购人和供应商可以按照《中华人民共和国政府采购法》的规定签订不超过成交金额百分之十的补充合同。</w:t>
      </w:r>
    </w:p>
    <w:p w14:paraId="601AB5D2">
      <w:pPr>
        <w:spacing w:line="480" w:lineRule="auto"/>
        <w:ind w:firstLine="480" w:firstLineChars="200"/>
        <w:rPr>
          <w:rFonts w:ascii="宋体" w:hAnsi="宋体" w:cs="仿宋"/>
          <w:color w:val="auto"/>
          <w:sz w:val="24"/>
        </w:rPr>
      </w:pPr>
      <w:r>
        <w:rPr>
          <w:rFonts w:hint="eastAsia" w:ascii="宋体" w:hAnsi="宋体" w:cs="仿宋"/>
          <w:color w:val="auto"/>
          <w:sz w:val="24"/>
        </w:rPr>
        <w:t>★3.安全管理：供应商在响应文件中应承诺：在工程施工过程中应采取充分有效的安全保护措施，加强安全教育和安全防范，避免对人员或财产造成伤害和损害，所有安全责任均由供应商承担。（供应商须在响应文件中提供承诺书原件）</w:t>
      </w:r>
    </w:p>
    <w:p w14:paraId="11C76DEC">
      <w:pPr>
        <w:spacing w:line="480" w:lineRule="auto"/>
        <w:ind w:firstLine="480" w:firstLineChars="200"/>
        <w:rPr>
          <w:rFonts w:hint="eastAsia" w:ascii="宋体" w:hAnsi="宋体" w:cs="仿宋"/>
          <w:color w:val="auto"/>
          <w:sz w:val="24"/>
        </w:rPr>
      </w:pPr>
      <w:r>
        <w:rPr>
          <w:rFonts w:hint="eastAsia" w:ascii="宋体" w:hAnsi="宋体" w:cs="仿宋"/>
          <w:color w:val="auto"/>
          <w:sz w:val="24"/>
        </w:rPr>
        <w:t>4.环保要求：成交供应商在施工期间应按照相关部门要求做好环境保护和污染治理。</w:t>
      </w:r>
    </w:p>
    <w:p w14:paraId="388CB02C">
      <w:pPr>
        <w:spacing w:line="480" w:lineRule="auto"/>
        <w:ind w:firstLine="480" w:firstLineChars="200"/>
        <w:rPr>
          <w:rFonts w:ascii="宋体" w:hAnsi="宋体" w:cs="仿宋"/>
          <w:color w:val="auto"/>
          <w:sz w:val="24"/>
        </w:rPr>
      </w:pPr>
      <w:r>
        <w:rPr>
          <w:rFonts w:hint="eastAsia" w:ascii="宋体" w:hAnsi="宋体" w:cs="仿宋"/>
          <w:color w:val="auto"/>
          <w:sz w:val="24"/>
        </w:rPr>
        <w:t>三、</w:t>
      </w:r>
      <w:r>
        <w:rPr>
          <w:rFonts w:ascii="宋体" w:hAnsi="宋体" w:cs="仿宋"/>
          <w:color w:val="auto"/>
          <w:sz w:val="24"/>
        </w:rPr>
        <w:t>商务要求</w:t>
      </w:r>
      <w:r>
        <w:rPr>
          <w:rFonts w:hint="eastAsia" w:ascii="宋体" w:hAnsi="宋体" w:cs="仿宋"/>
          <w:color w:val="auto"/>
          <w:sz w:val="24"/>
        </w:rPr>
        <w:t>：</w:t>
      </w:r>
    </w:p>
    <w:tbl>
      <w:tblPr>
        <w:tblStyle w:val="2"/>
        <w:tblW w:w="9046" w:type="dxa"/>
        <w:jc w:val="center"/>
        <w:tblLayout w:type="fixed"/>
        <w:tblCellMar>
          <w:top w:w="0" w:type="dxa"/>
          <w:left w:w="108" w:type="dxa"/>
          <w:bottom w:w="0" w:type="dxa"/>
          <w:right w:w="108" w:type="dxa"/>
        </w:tblCellMar>
      </w:tblPr>
      <w:tblGrid>
        <w:gridCol w:w="810"/>
        <w:gridCol w:w="1418"/>
        <w:gridCol w:w="6818"/>
      </w:tblGrid>
      <w:tr w14:paraId="4AF46C44">
        <w:tblPrEx>
          <w:tblCellMar>
            <w:top w:w="0" w:type="dxa"/>
            <w:left w:w="108" w:type="dxa"/>
            <w:bottom w:w="0" w:type="dxa"/>
            <w:right w:w="108" w:type="dxa"/>
          </w:tblCellMar>
        </w:tblPrEx>
        <w:trPr>
          <w:trHeight w:val="705" w:hRule="atLeast"/>
          <w:jc w:val="center"/>
        </w:trPr>
        <w:tc>
          <w:tcPr>
            <w:tcW w:w="810" w:type="dxa"/>
            <w:tcBorders>
              <w:top w:val="single" w:color="auto" w:sz="4" w:space="0"/>
              <w:left w:val="single" w:color="auto" w:sz="4" w:space="0"/>
              <w:bottom w:val="single" w:color="auto" w:sz="4" w:space="0"/>
              <w:right w:val="single" w:color="auto" w:sz="4" w:space="0"/>
            </w:tcBorders>
            <w:noWrap w:val="0"/>
            <w:vAlign w:val="center"/>
          </w:tcPr>
          <w:p w14:paraId="0501CC66">
            <w:pPr>
              <w:spacing w:line="360" w:lineRule="auto"/>
              <w:ind w:right="21" w:rightChars="10"/>
              <w:jc w:val="center"/>
              <w:rPr>
                <w:rFonts w:ascii="宋体" w:hAnsi="宋体"/>
                <w:b/>
                <w:bCs/>
                <w:color w:val="auto"/>
                <w:szCs w:val="21"/>
              </w:rPr>
            </w:pPr>
            <w:r>
              <w:rPr>
                <w:rFonts w:hint="eastAsia" w:ascii="宋体" w:hAnsi="宋体" w:cs="仿宋"/>
                <w:b/>
                <w:bCs/>
                <w:color w:val="auto"/>
                <w:szCs w:val="21"/>
              </w:rPr>
              <w:t>序号</w:t>
            </w:r>
          </w:p>
        </w:tc>
        <w:tc>
          <w:tcPr>
            <w:tcW w:w="1418" w:type="dxa"/>
            <w:tcBorders>
              <w:top w:val="single" w:color="auto" w:sz="4" w:space="0"/>
              <w:left w:val="nil"/>
              <w:bottom w:val="single" w:color="auto" w:sz="4" w:space="0"/>
              <w:right w:val="single" w:color="auto" w:sz="4" w:space="0"/>
            </w:tcBorders>
            <w:noWrap w:val="0"/>
            <w:vAlign w:val="center"/>
          </w:tcPr>
          <w:p w14:paraId="1451E9BF">
            <w:pPr>
              <w:spacing w:line="360" w:lineRule="auto"/>
              <w:ind w:right="21" w:rightChars="10"/>
              <w:jc w:val="center"/>
              <w:rPr>
                <w:rFonts w:ascii="宋体" w:hAnsi="宋体"/>
                <w:b/>
                <w:bCs/>
                <w:color w:val="auto"/>
                <w:szCs w:val="21"/>
              </w:rPr>
            </w:pPr>
            <w:r>
              <w:rPr>
                <w:rFonts w:hint="eastAsia" w:ascii="宋体" w:hAnsi="宋体" w:cs="仿宋"/>
                <w:b/>
                <w:bCs/>
                <w:color w:val="auto"/>
                <w:szCs w:val="21"/>
              </w:rPr>
              <w:t>项目要求</w:t>
            </w:r>
          </w:p>
        </w:tc>
        <w:tc>
          <w:tcPr>
            <w:tcW w:w="6818" w:type="dxa"/>
            <w:tcBorders>
              <w:top w:val="single" w:color="auto" w:sz="4" w:space="0"/>
              <w:left w:val="nil"/>
              <w:bottom w:val="single" w:color="auto" w:sz="4" w:space="0"/>
              <w:right w:val="single" w:color="auto" w:sz="4" w:space="0"/>
            </w:tcBorders>
            <w:noWrap w:val="0"/>
            <w:vAlign w:val="center"/>
          </w:tcPr>
          <w:p w14:paraId="2FF7F2E6">
            <w:pPr>
              <w:spacing w:line="360" w:lineRule="auto"/>
              <w:ind w:right="21" w:rightChars="10"/>
              <w:jc w:val="center"/>
              <w:rPr>
                <w:rFonts w:ascii="宋体" w:hAnsi="宋体"/>
                <w:b/>
                <w:bCs/>
                <w:color w:val="auto"/>
                <w:szCs w:val="21"/>
              </w:rPr>
            </w:pPr>
          </w:p>
        </w:tc>
      </w:tr>
      <w:tr w14:paraId="003C1608">
        <w:tblPrEx>
          <w:tblCellMar>
            <w:top w:w="0" w:type="dxa"/>
            <w:left w:w="108" w:type="dxa"/>
            <w:bottom w:w="0" w:type="dxa"/>
            <w:right w:w="108" w:type="dxa"/>
          </w:tblCellMar>
        </w:tblPrEx>
        <w:trPr>
          <w:trHeight w:val="624" w:hRule="atLeast"/>
          <w:jc w:val="center"/>
        </w:trPr>
        <w:tc>
          <w:tcPr>
            <w:tcW w:w="810" w:type="dxa"/>
            <w:tcBorders>
              <w:top w:val="single" w:color="auto" w:sz="4" w:space="0"/>
              <w:left w:val="single" w:color="auto" w:sz="4" w:space="0"/>
              <w:bottom w:val="single" w:color="auto" w:sz="4" w:space="0"/>
              <w:right w:val="single" w:color="auto" w:sz="4" w:space="0"/>
            </w:tcBorders>
            <w:noWrap w:val="0"/>
            <w:vAlign w:val="center"/>
          </w:tcPr>
          <w:p w14:paraId="286A5AA5">
            <w:pPr>
              <w:spacing w:line="360" w:lineRule="auto"/>
              <w:ind w:right="21" w:rightChars="10"/>
              <w:jc w:val="center"/>
              <w:rPr>
                <w:rFonts w:ascii="宋体" w:hAnsi="宋体"/>
                <w:color w:val="auto"/>
                <w:szCs w:val="21"/>
              </w:rPr>
            </w:pPr>
            <w:r>
              <w:rPr>
                <w:rFonts w:hint="eastAsia" w:ascii="宋体" w:hAnsi="宋体"/>
                <w:color w:val="auto"/>
                <w:szCs w:val="21"/>
              </w:rPr>
              <w:t>1</w:t>
            </w:r>
          </w:p>
        </w:tc>
        <w:tc>
          <w:tcPr>
            <w:tcW w:w="1418" w:type="dxa"/>
            <w:tcBorders>
              <w:top w:val="single" w:color="auto" w:sz="4" w:space="0"/>
              <w:left w:val="nil"/>
              <w:bottom w:val="single" w:color="auto" w:sz="4" w:space="0"/>
              <w:right w:val="single" w:color="auto" w:sz="4" w:space="0"/>
            </w:tcBorders>
            <w:noWrap w:val="0"/>
            <w:vAlign w:val="center"/>
          </w:tcPr>
          <w:p w14:paraId="690EEE7D">
            <w:pPr>
              <w:spacing w:line="360" w:lineRule="auto"/>
              <w:jc w:val="center"/>
              <w:rPr>
                <w:rFonts w:ascii="宋体" w:hAnsi="宋体" w:cs="宋体"/>
                <w:b/>
                <w:bCs/>
                <w:color w:val="auto"/>
                <w:szCs w:val="21"/>
              </w:rPr>
            </w:pPr>
            <w:r>
              <w:rPr>
                <w:rFonts w:hint="eastAsia" w:ascii="宋体" w:hAnsi="宋体" w:cs="仿宋"/>
                <w:color w:val="auto"/>
                <w:szCs w:val="21"/>
              </w:rPr>
              <w:t>工期和进度</w:t>
            </w:r>
          </w:p>
        </w:tc>
        <w:tc>
          <w:tcPr>
            <w:tcW w:w="6818" w:type="dxa"/>
            <w:tcBorders>
              <w:top w:val="single" w:color="auto" w:sz="4" w:space="0"/>
              <w:left w:val="nil"/>
              <w:bottom w:val="single" w:color="auto" w:sz="4" w:space="0"/>
              <w:right w:val="single" w:color="auto" w:sz="4" w:space="0"/>
            </w:tcBorders>
            <w:noWrap w:val="0"/>
            <w:vAlign w:val="center"/>
          </w:tcPr>
          <w:p w14:paraId="10D8997B">
            <w:pPr>
              <w:spacing w:line="360" w:lineRule="auto"/>
              <w:ind w:right="21" w:rightChars="10"/>
              <w:rPr>
                <w:rFonts w:ascii="宋体" w:hAnsi="宋体" w:cs="仿宋"/>
                <w:b/>
                <w:bCs/>
                <w:color w:val="auto"/>
                <w:szCs w:val="21"/>
              </w:rPr>
            </w:pPr>
            <w:r>
              <w:rPr>
                <w:rFonts w:hint="eastAsia" w:ascii="宋体" w:hAnsi="宋体"/>
                <w:color w:val="auto"/>
                <w:szCs w:val="21"/>
              </w:rPr>
              <w:t>工期总日历天数：120天。</w:t>
            </w:r>
          </w:p>
        </w:tc>
      </w:tr>
      <w:tr w14:paraId="25DE1C43">
        <w:tblPrEx>
          <w:tblCellMar>
            <w:top w:w="0" w:type="dxa"/>
            <w:left w:w="108" w:type="dxa"/>
            <w:bottom w:w="0" w:type="dxa"/>
            <w:right w:w="108" w:type="dxa"/>
          </w:tblCellMar>
        </w:tblPrEx>
        <w:trPr>
          <w:trHeight w:val="705" w:hRule="atLeast"/>
          <w:jc w:val="center"/>
        </w:trPr>
        <w:tc>
          <w:tcPr>
            <w:tcW w:w="810" w:type="dxa"/>
            <w:tcBorders>
              <w:top w:val="single" w:color="auto" w:sz="4" w:space="0"/>
              <w:left w:val="single" w:color="auto" w:sz="4" w:space="0"/>
              <w:bottom w:val="single" w:color="auto" w:sz="4" w:space="0"/>
              <w:right w:val="single" w:color="auto" w:sz="4" w:space="0"/>
            </w:tcBorders>
            <w:noWrap w:val="0"/>
            <w:vAlign w:val="center"/>
          </w:tcPr>
          <w:p w14:paraId="2A72EAB3">
            <w:pPr>
              <w:spacing w:line="360" w:lineRule="auto"/>
              <w:ind w:right="21" w:rightChars="10"/>
              <w:jc w:val="center"/>
              <w:rPr>
                <w:rFonts w:ascii="宋体" w:hAnsi="宋体"/>
                <w:color w:val="auto"/>
                <w:szCs w:val="21"/>
              </w:rPr>
            </w:pPr>
            <w:r>
              <w:rPr>
                <w:rFonts w:hint="eastAsia" w:ascii="宋体" w:hAnsi="宋体"/>
                <w:color w:val="auto"/>
                <w:szCs w:val="21"/>
              </w:rPr>
              <w:t>2</w:t>
            </w:r>
          </w:p>
        </w:tc>
        <w:tc>
          <w:tcPr>
            <w:tcW w:w="1418" w:type="dxa"/>
            <w:tcBorders>
              <w:top w:val="single" w:color="auto" w:sz="4" w:space="0"/>
              <w:left w:val="nil"/>
              <w:bottom w:val="single" w:color="auto" w:sz="4" w:space="0"/>
              <w:right w:val="single" w:color="auto" w:sz="4" w:space="0"/>
            </w:tcBorders>
            <w:noWrap w:val="0"/>
            <w:vAlign w:val="center"/>
          </w:tcPr>
          <w:p w14:paraId="5CD13CEB">
            <w:pPr>
              <w:spacing w:line="360" w:lineRule="auto"/>
              <w:jc w:val="center"/>
              <w:rPr>
                <w:rFonts w:ascii="宋体" w:hAnsi="宋体"/>
                <w:color w:val="auto"/>
                <w:szCs w:val="21"/>
              </w:rPr>
            </w:pPr>
            <w:r>
              <w:rPr>
                <w:rFonts w:hint="eastAsia" w:ascii="宋体" w:hAnsi="宋体" w:cs="仿宋"/>
                <w:color w:val="auto"/>
                <w:szCs w:val="21"/>
              </w:rPr>
              <w:t>缺陷责任期</w:t>
            </w:r>
          </w:p>
        </w:tc>
        <w:tc>
          <w:tcPr>
            <w:tcW w:w="6818" w:type="dxa"/>
            <w:tcBorders>
              <w:top w:val="single" w:color="auto" w:sz="4" w:space="0"/>
              <w:left w:val="nil"/>
              <w:bottom w:val="single" w:color="auto" w:sz="4" w:space="0"/>
              <w:right w:val="single" w:color="auto" w:sz="4" w:space="0"/>
            </w:tcBorders>
            <w:noWrap w:val="0"/>
            <w:vAlign w:val="center"/>
          </w:tcPr>
          <w:p w14:paraId="15C12D90">
            <w:pPr>
              <w:spacing w:line="360" w:lineRule="auto"/>
              <w:jc w:val="left"/>
              <w:rPr>
                <w:rFonts w:ascii="宋体" w:hAnsi="宋体"/>
                <w:color w:val="auto"/>
                <w:szCs w:val="21"/>
              </w:rPr>
            </w:pPr>
            <w:r>
              <w:rPr>
                <w:rFonts w:hint="eastAsia" w:ascii="宋体" w:hAnsi="宋体" w:cs="仿宋"/>
                <w:color w:val="auto"/>
                <w:szCs w:val="21"/>
              </w:rPr>
              <w:t>本项目缺陷责任期为1年(从工程竣工验收合格之日起计算) ，缺陷责任期内，由成交供应商原因造成的质量缺陷,由成交供应商承担缺陷修复义务,并承担相应费用。</w:t>
            </w:r>
          </w:p>
        </w:tc>
      </w:tr>
      <w:tr w14:paraId="2148BF7C">
        <w:tblPrEx>
          <w:tblCellMar>
            <w:top w:w="0" w:type="dxa"/>
            <w:left w:w="108" w:type="dxa"/>
            <w:bottom w:w="0" w:type="dxa"/>
            <w:right w:w="108" w:type="dxa"/>
          </w:tblCellMar>
        </w:tblPrEx>
        <w:trPr>
          <w:trHeight w:val="705" w:hRule="atLeast"/>
          <w:jc w:val="center"/>
        </w:trPr>
        <w:tc>
          <w:tcPr>
            <w:tcW w:w="810" w:type="dxa"/>
            <w:tcBorders>
              <w:top w:val="single" w:color="auto" w:sz="4" w:space="0"/>
              <w:left w:val="single" w:color="auto" w:sz="4" w:space="0"/>
              <w:bottom w:val="single" w:color="auto" w:sz="4" w:space="0"/>
              <w:right w:val="single" w:color="auto" w:sz="4" w:space="0"/>
            </w:tcBorders>
            <w:noWrap w:val="0"/>
            <w:vAlign w:val="center"/>
          </w:tcPr>
          <w:p w14:paraId="20620D67">
            <w:pPr>
              <w:spacing w:line="360" w:lineRule="auto"/>
              <w:ind w:firstLine="105" w:firstLineChars="50"/>
              <w:jc w:val="left"/>
              <w:rPr>
                <w:rFonts w:ascii="宋体" w:hAnsi="宋体" w:cs="仿宋"/>
                <w:color w:val="auto"/>
                <w:szCs w:val="21"/>
              </w:rPr>
            </w:pPr>
            <w:r>
              <w:rPr>
                <w:rFonts w:hint="eastAsia" w:ascii="宋体" w:hAnsi="宋体" w:cs="仿宋"/>
                <w:color w:val="auto"/>
                <w:szCs w:val="21"/>
              </w:rPr>
              <w:t>3</w:t>
            </w:r>
          </w:p>
        </w:tc>
        <w:tc>
          <w:tcPr>
            <w:tcW w:w="1418" w:type="dxa"/>
            <w:tcBorders>
              <w:top w:val="single" w:color="auto" w:sz="4" w:space="0"/>
              <w:left w:val="nil"/>
              <w:bottom w:val="single" w:color="auto" w:sz="4" w:space="0"/>
              <w:right w:val="single" w:color="auto" w:sz="4" w:space="0"/>
            </w:tcBorders>
            <w:noWrap w:val="0"/>
            <w:vAlign w:val="center"/>
          </w:tcPr>
          <w:p w14:paraId="4BBD51DF">
            <w:pPr>
              <w:spacing w:line="360" w:lineRule="auto"/>
              <w:jc w:val="center"/>
              <w:rPr>
                <w:rFonts w:ascii="宋体" w:hAnsi="宋体" w:cs="仿宋"/>
                <w:color w:val="auto"/>
                <w:szCs w:val="21"/>
              </w:rPr>
            </w:pPr>
            <w:r>
              <w:rPr>
                <w:rFonts w:hint="eastAsia" w:ascii="宋体" w:hAnsi="宋体" w:cs="仿宋"/>
                <w:color w:val="auto"/>
                <w:szCs w:val="21"/>
              </w:rPr>
              <w:t>拟任项目技术负责人</w:t>
            </w:r>
          </w:p>
        </w:tc>
        <w:tc>
          <w:tcPr>
            <w:tcW w:w="6818" w:type="dxa"/>
            <w:tcBorders>
              <w:top w:val="single" w:color="auto" w:sz="4" w:space="0"/>
              <w:left w:val="nil"/>
              <w:bottom w:val="single" w:color="auto" w:sz="4" w:space="0"/>
              <w:right w:val="single" w:color="auto" w:sz="4" w:space="0"/>
            </w:tcBorders>
            <w:noWrap w:val="0"/>
            <w:vAlign w:val="center"/>
          </w:tcPr>
          <w:p w14:paraId="043BBAA9">
            <w:pPr>
              <w:spacing w:line="360" w:lineRule="auto"/>
              <w:jc w:val="left"/>
              <w:rPr>
                <w:rFonts w:ascii="宋体" w:hAnsi="宋体" w:cs="仿宋"/>
                <w:color w:val="auto"/>
                <w:szCs w:val="21"/>
              </w:rPr>
            </w:pPr>
            <w:r>
              <w:rPr>
                <w:rFonts w:hint="eastAsia" w:ascii="宋体" w:hAnsi="宋体" w:cs="宋体"/>
                <w:color w:val="auto"/>
                <w:szCs w:val="21"/>
              </w:rPr>
              <w:t>项目技术负责人具备有效的建筑类相关专业技术中级以上职称</w:t>
            </w:r>
            <w:r>
              <w:rPr>
                <w:rFonts w:hint="eastAsia" w:ascii="宋体" w:hAnsi="宋体" w:cs="仿宋"/>
                <w:color w:val="auto"/>
                <w:szCs w:val="21"/>
              </w:rPr>
              <w:t>（提供复印件加盖供应商鲜章）。</w:t>
            </w:r>
          </w:p>
        </w:tc>
      </w:tr>
      <w:tr w14:paraId="0721304B">
        <w:tblPrEx>
          <w:tblCellMar>
            <w:top w:w="0" w:type="dxa"/>
            <w:left w:w="108" w:type="dxa"/>
            <w:bottom w:w="0" w:type="dxa"/>
            <w:right w:w="108" w:type="dxa"/>
          </w:tblCellMar>
        </w:tblPrEx>
        <w:trPr>
          <w:trHeight w:val="1057" w:hRule="atLeast"/>
          <w:jc w:val="center"/>
        </w:trPr>
        <w:tc>
          <w:tcPr>
            <w:tcW w:w="810" w:type="dxa"/>
            <w:tcBorders>
              <w:top w:val="single" w:color="auto" w:sz="4" w:space="0"/>
              <w:left w:val="single" w:color="auto" w:sz="4" w:space="0"/>
              <w:bottom w:val="single" w:color="auto" w:sz="4" w:space="0"/>
              <w:right w:val="single" w:color="auto" w:sz="4" w:space="0"/>
            </w:tcBorders>
            <w:noWrap w:val="0"/>
            <w:vAlign w:val="center"/>
          </w:tcPr>
          <w:p w14:paraId="4A48ED78">
            <w:pPr>
              <w:spacing w:line="360" w:lineRule="auto"/>
              <w:ind w:right="21" w:rightChars="10"/>
              <w:jc w:val="center"/>
              <w:rPr>
                <w:rFonts w:ascii="宋体" w:hAnsi="宋体"/>
                <w:b/>
                <w:bCs/>
                <w:color w:val="auto"/>
                <w:szCs w:val="21"/>
              </w:rPr>
            </w:pPr>
            <w:r>
              <w:rPr>
                <w:rFonts w:hint="eastAsia" w:ascii="宋体" w:hAnsi="宋体"/>
                <w:color w:val="auto"/>
                <w:szCs w:val="21"/>
              </w:rPr>
              <w:t>4</w:t>
            </w:r>
          </w:p>
        </w:tc>
        <w:tc>
          <w:tcPr>
            <w:tcW w:w="1418" w:type="dxa"/>
            <w:tcBorders>
              <w:top w:val="single" w:color="auto" w:sz="4" w:space="0"/>
              <w:left w:val="nil"/>
              <w:bottom w:val="single" w:color="auto" w:sz="4" w:space="0"/>
              <w:right w:val="single" w:color="auto" w:sz="4" w:space="0"/>
            </w:tcBorders>
            <w:noWrap w:val="0"/>
            <w:vAlign w:val="center"/>
          </w:tcPr>
          <w:p w14:paraId="16E18B92">
            <w:pPr>
              <w:spacing w:line="360" w:lineRule="auto"/>
              <w:jc w:val="center"/>
              <w:rPr>
                <w:rFonts w:ascii="宋体" w:hAnsi="宋体" w:cs="仿宋"/>
                <w:color w:val="auto"/>
                <w:szCs w:val="21"/>
              </w:rPr>
            </w:pPr>
            <w:r>
              <w:rPr>
                <w:rFonts w:hint="eastAsia" w:ascii="宋体" w:hAnsi="宋体" w:cs="仿宋"/>
                <w:color w:val="auto"/>
                <w:szCs w:val="21"/>
              </w:rPr>
              <w:t>质量保修期</w:t>
            </w:r>
          </w:p>
        </w:tc>
        <w:tc>
          <w:tcPr>
            <w:tcW w:w="6818" w:type="dxa"/>
            <w:tcBorders>
              <w:top w:val="single" w:color="auto" w:sz="4" w:space="0"/>
              <w:left w:val="nil"/>
              <w:bottom w:val="single" w:color="auto" w:sz="4" w:space="0"/>
              <w:right w:val="single" w:color="auto" w:sz="4" w:space="0"/>
            </w:tcBorders>
            <w:noWrap w:val="0"/>
            <w:vAlign w:val="center"/>
          </w:tcPr>
          <w:p w14:paraId="54E444C4">
            <w:pPr>
              <w:spacing w:line="360" w:lineRule="auto"/>
              <w:jc w:val="left"/>
              <w:rPr>
                <w:rFonts w:ascii="宋体" w:hAnsi="宋体"/>
                <w:color w:val="auto"/>
                <w:szCs w:val="21"/>
              </w:rPr>
            </w:pPr>
            <w:r>
              <w:rPr>
                <w:rFonts w:hint="eastAsia" w:ascii="宋体" w:hAnsi="宋体" w:cs="仿宋"/>
                <w:color w:val="auto"/>
                <w:szCs w:val="21"/>
              </w:rPr>
              <w:t>本项目质量保修期从竣工验收合格之日起计算，质量保修期为</w:t>
            </w:r>
            <w:r>
              <w:rPr>
                <w:rFonts w:hint="eastAsia" w:ascii="宋体" w:hAnsi="宋体" w:cs="仿宋"/>
                <w:color w:val="auto"/>
                <w:szCs w:val="21"/>
                <w:lang w:val="en-US" w:eastAsia="zh-CN"/>
              </w:rPr>
              <w:t>2</w:t>
            </w:r>
            <w:r>
              <w:rPr>
                <w:rFonts w:hint="eastAsia" w:ascii="宋体" w:hAnsi="宋体" w:cs="仿宋"/>
                <w:color w:val="auto"/>
                <w:szCs w:val="21"/>
              </w:rPr>
              <w:t>年，</w:t>
            </w:r>
            <w:r>
              <w:rPr>
                <w:rFonts w:ascii="宋体" w:hAnsi="宋体" w:cs="仿宋"/>
                <w:color w:val="auto"/>
                <w:szCs w:val="21"/>
              </w:rPr>
              <w:t>有防水要求的</w:t>
            </w:r>
            <w:r>
              <w:rPr>
                <w:rFonts w:hint="eastAsia" w:ascii="宋体" w:hAnsi="宋体" w:cs="仿宋"/>
                <w:color w:val="auto"/>
                <w:szCs w:val="21"/>
              </w:rPr>
              <w:t>防水工程</w:t>
            </w:r>
            <w:r>
              <w:rPr>
                <w:rFonts w:ascii="宋体" w:hAnsi="宋体" w:cs="仿宋"/>
                <w:color w:val="auto"/>
                <w:szCs w:val="21"/>
              </w:rPr>
              <w:t>为5年</w:t>
            </w:r>
            <w:r>
              <w:rPr>
                <w:rFonts w:hint="eastAsia" w:ascii="宋体" w:hAnsi="宋体" w:cs="仿宋"/>
                <w:color w:val="auto"/>
                <w:szCs w:val="21"/>
              </w:rPr>
              <w:t>。在规定的保修期内，工程出现质量问题，由原施工单位承担保修，所需费用由责任人方承担。</w:t>
            </w:r>
          </w:p>
        </w:tc>
      </w:tr>
      <w:tr w14:paraId="2753FF40">
        <w:tblPrEx>
          <w:tblCellMar>
            <w:top w:w="0" w:type="dxa"/>
            <w:left w:w="108" w:type="dxa"/>
            <w:bottom w:w="0" w:type="dxa"/>
            <w:right w:w="108" w:type="dxa"/>
          </w:tblCellMar>
        </w:tblPrEx>
        <w:trPr>
          <w:trHeight w:val="408" w:hRule="atLeast"/>
          <w:jc w:val="center"/>
        </w:trPr>
        <w:tc>
          <w:tcPr>
            <w:tcW w:w="810" w:type="dxa"/>
            <w:tcBorders>
              <w:top w:val="single" w:color="auto" w:sz="4" w:space="0"/>
              <w:left w:val="single" w:color="auto" w:sz="4" w:space="0"/>
              <w:bottom w:val="single" w:color="auto" w:sz="4" w:space="0"/>
              <w:right w:val="single" w:color="auto" w:sz="4" w:space="0"/>
            </w:tcBorders>
            <w:noWrap w:val="0"/>
            <w:vAlign w:val="center"/>
          </w:tcPr>
          <w:p w14:paraId="1B760F53">
            <w:pPr>
              <w:spacing w:line="360" w:lineRule="auto"/>
              <w:ind w:right="21" w:rightChars="10"/>
              <w:jc w:val="center"/>
              <w:rPr>
                <w:rFonts w:ascii="宋体" w:hAnsi="宋体"/>
                <w:color w:val="auto"/>
                <w:szCs w:val="21"/>
              </w:rPr>
            </w:pPr>
            <w:r>
              <w:rPr>
                <w:rFonts w:hint="eastAsia" w:ascii="宋体" w:hAnsi="宋体"/>
                <w:color w:val="auto"/>
                <w:szCs w:val="21"/>
              </w:rPr>
              <w:t>5</w:t>
            </w:r>
          </w:p>
        </w:tc>
        <w:tc>
          <w:tcPr>
            <w:tcW w:w="1418" w:type="dxa"/>
            <w:tcBorders>
              <w:top w:val="single" w:color="auto" w:sz="4" w:space="0"/>
              <w:left w:val="nil"/>
              <w:bottom w:val="single" w:color="auto" w:sz="4" w:space="0"/>
              <w:right w:val="single" w:color="auto" w:sz="4" w:space="0"/>
            </w:tcBorders>
            <w:noWrap w:val="0"/>
            <w:vAlign w:val="center"/>
          </w:tcPr>
          <w:p w14:paraId="77A47202">
            <w:pPr>
              <w:spacing w:line="360" w:lineRule="auto"/>
              <w:jc w:val="center"/>
              <w:rPr>
                <w:rFonts w:ascii="宋体" w:hAnsi="宋体" w:cs="仿宋"/>
                <w:color w:val="auto"/>
                <w:szCs w:val="21"/>
              </w:rPr>
            </w:pPr>
            <w:r>
              <w:rPr>
                <w:rFonts w:hint="eastAsia" w:ascii="宋体" w:hAnsi="宋体" w:cs="仿宋_GB2312"/>
                <w:b/>
                <w:color w:val="auto"/>
                <w:sz w:val="24"/>
              </w:rPr>
              <w:t>★</w:t>
            </w:r>
            <w:r>
              <w:rPr>
                <w:rFonts w:hint="eastAsia" w:ascii="宋体" w:hAnsi="宋体" w:cs="仿宋"/>
                <w:color w:val="auto"/>
                <w:szCs w:val="21"/>
              </w:rPr>
              <w:t>其他售后服务要求</w:t>
            </w:r>
          </w:p>
        </w:tc>
        <w:tc>
          <w:tcPr>
            <w:tcW w:w="6818" w:type="dxa"/>
            <w:tcBorders>
              <w:top w:val="single" w:color="auto" w:sz="4" w:space="0"/>
              <w:left w:val="nil"/>
              <w:bottom w:val="single" w:color="auto" w:sz="4" w:space="0"/>
              <w:right w:val="single" w:color="auto" w:sz="4" w:space="0"/>
            </w:tcBorders>
            <w:noWrap w:val="0"/>
            <w:vAlign w:val="center"/>
          </w:tcPr>
          <w:p w14:paraId="5E22FAFC">
            <w:pPr>
              <w:spacing w:line="360" w:lineRule="auto"/>
              <w:ind w:right="21" w:rightChars="10"/>
              <w:jc w:val="left"/>
              <w:rPr>
                <w:rFonts w:ascii="宋体" w:hAnsi="宋体"/>
                <w:color w:val="auto"/>
                <w:szCs w:val="21"/>
              </w:rPr>
            </w:pPr>
            <w:r>
              <w:rPr>
                <w:rFonts w:hint="eastAsia" w:ascii="宋体" w:hAnsi="宋体" w:cs="仿宋"/>
                <w:color w:val="auto"/>
                <w:szCs w:val="21"/>
              </w:rPr>
              <w:t xml:space="preserve"> 在质量保修期内出现质量问题（不可抗力因素除外），成交供应商在接到采购人维修通知后30分钟内响应，4小时内到达现场，在双方确定的合理时间内解决问题，成交供应商免费进行维修。（本项目工程量清单内的管材管件的质保期为20年）</w:t>
            </w:r>
          </w:p>
        </w:tc>
      </w:tr>
      <w:tr w14:paraId="46496D83">
        <w:tblPrEx>
          <w:tblCellMar>
            <w:top w:w="0" w:type="dxa"/>
            <w:left w:w="108" w:type="dxa"/>
            <w:bottom w:w="0" w:type="dxa"/>
            <w:right w:w="108" w:type="dxa"/>
          </w:tblCellMar>
        </w:tblPrEx>
        <w:trPr>
          <w:trHeight w:val="982" w:hRule="atLeast"/>
          <w:jc w:val="center"/>
        </w:trPr>
        <w:tc>
          <w:tcPr>
            <w:tcW w:w="810" w:type="dxa"/>
            <w:tcBorders>
              <w:top w:val="single" w:color="auto" w:sz="4" w:space="0"/>
              <w:left w:val="single" w:color="auto" w:sz="4" w:space="0"/>
              <w:bottom w:val="single" w:color="auto" w:sz="4" w:space="0"/>
              <w:right w:val="single" w:color="auto" w:sz="4" w:space="0"/>
            </w:tcBorders>
            <w:noWrap w:val="0"/>
            <w:vAlign w:val="center"/>
          </w:tcPr>
          <w:p w14:paraId="0620F18C">
            <w:pPr>
              <w:spacing w:line="360" w:lineRule="auto"/>
              <w:ind w:right="21" w:rightChars="10"/>
              <w:jc w:val="center"/>
              <w:rPr>
                <w:rFonts w:ascii="宋体" w:hAnsi="宋体"/>
                <w:color w:val="auto"/>
                <w:szCs w:val="21"/>
              </w:rPr>
            </w:pPr>
            <w:r>
              <w:rPr>
                <w:rFonts w:hint="eastAsia" w:ascii="宋体" w:hAnsi="宋体"/>
                <w:color w:val="auto"/>
                <w:szCs w:val="21"/>
              </w:rPr>
              <w:t>6</w:t>
            </w:r>
          </w:p>
        </w:tc>
        <w:tc>
          <w:tcPr>
            <w:tcW w:w="1418" w:type="dxa"/>
            <w:tcBorders>
              <w:top w:val="single" w:color="auto" w:sz="4" w:space="0"/>
              <w:left w:val="nil"/>
              <w:bottom w:val="single" w:color="auto" w:sz="4" w:space="0"/>
              <w:right w:val="single" w:color="auto" w:sz="4" w:space="0"/>
            </w:tcBorders>
            <w:noWrap w:val="0"/>
            <w:vAlign w:val="center"/>
          </w:tcPr>
          <w:p w14:paraId="73516DD0">
            <w:pPr>
              <w:spacing w:line="620" w:lineRule="exact"/>
              <w:jc w:val="left"/>
              <w:rPr>
                <w:rFonts w:ascii="宋体" w:hAnsi="宋体" w:cs="宋体"/>
                <w:b/>
                <w:color w:val="auto"/>
                <w:szCs w:val="21"/>
              </w:rPr>
            </w:pPr>
            <w:r>
              <w:rPr>
                <w:rFonts w:hint="eastAsia" w:ascii="宋体" w:hAnsi="宋体" w:cs="仿宋_GB2312"/>
                <w:b/>
                <w:color w:val="auto"/>
                <w:sz w:val="24"/>
              </w:rPr>
              <w:t>★</w:t>
            </w:r>
            <w:r>
              <w:rPr>
                <w:rFonts w:hint="eastAsia" w:ascii="宋体" w:hAnsi="宋体" w:cs="仿宋"/>
                <w:color w:val="auto"/>
                <w:szCs w:val="21"/>
              </w:rPr>
              <w:t>项目结算</w:t>
            </w:r>
          </w:p>
        </w:tc>
        <w:tc>
          <w:tcPr>
            <w:tcW w:w="6818" w:type="dxa"/>
            <w:tcBorders>
              <w:top w:val="single" w:color="auto" w:sz="4" w:space="0"/>
              <w:left w:val="nil"/>
              <w:bottom w:val="single" w:color="auto" w:sz="4" w:space="0"/>
              <w:right w:val="single" w:color="auto" w:sz="4" w:space="0"/>
            </w:tcBorders>
            <w:noWrap w:val="0"/>
            <w:vAlign w:val="center"/>
          </w:tcPr>
          <w:p w14:paraId="311A5424">
            <w:pPr>
              <w:spacing w:line="360" w:lineRule="auto"/>
              <w:jc w:val="left"/>
              <w:rPr>
                <w:rFonts w:ascii="宋体" w:hAnsi="宋体" w:cs="微软雅黑"/>
                <w:color w:val="auto"/>
                <w:szCs w:val="21"/>
                <w:u w:val="single"/>
              </w:rPr>
            </w:pPr>
            <w:r>
              <w:rPr>
                <w:rFonts w:hint="eastAsia" w:ascii="宋体" w:hAnsi="宋体" w:cs="仿宋"/>
                <w:color w:val="auto"/>
                <w:szCs w:val="21"/>
              </w:rPr>
              <w:t xml:space="preserve">本项目执行固定价，项目完工经竣工验收合格，由采购人和成交供应商按照相关规定办理工程竣工结算，最终金额以结算审计审定金额为准。 </w:t>
            </w:r>
          </w:p>
        </w:tc>
      </w:tr>
      <w:tr w14:paraId="51645D8D">
        <w:tblPrEx>
          <w:tblCellMar>
            <w:top w:w="0" w:type="dxa"/>
            <w:left w:w="108" w:type="dxa"/>
            <w:bottom w:w="0" w:type="dxa"/>
            <w:right w:w="108" w:type="dxa"/>
          </w:tblCellMar>
        </w:tblPrEx>
        <w:trPr>
          <w:trHeight w:val="804" w:hRule="atLeast"/>
          <w:jc w:val="center"/>
        </w:trPr>
        <w:tc>
          <w:tcPr>
            <w:tcW w:w="810" w:type="dxa"/>
            <w:tcBorders>
              <w:top w:val="single" w:color="auto" w:sz="4" w:space="0"/>
              <w:left w:val="single" w:color="auto" w:sz="4" w:space="0"/>
              <w:bottom w:val="single" w:color="auto" w:sz="4" w:space="0"/>
              <w:right w:val="single" w:color="auto" w:sz="4" w:space="0"/>
            </w:tcBorders>
            <w:noWrap w:val="0"/>
            <w:vAlign w:val="center"/>
          </w:tcPr>
          <w:p w14:paraId="6D47C8AA">
            <w:pPr>
              <w:spacing w:line="360" w:lineRule="auto"/>
              <w:ind w:right="21" w:rightChars="10"/>
              <w:jc w:val="center"/>
              <w:rPr>
                <w:rFonts w:ascii="宋体" w:hAnsi="宋体" w:cs="仿宋"/>
                <w:color w:val="auto"/>
                <w:szCs w:val="21"/>
              </w:rPr>
            </w:pPr>
            <w:r>
              <w:rPr>
                <w:rFonts w:hint="eastAsia" w:ascii="宋体" w:hAnsi="宋体" w:cs="仿宋"/>
                <w:color w:val="auto"/>
                <w:szCs w:val="21"/>
              </w:rPr>
              <w:t>7</w:t>
            </w:r>
          </w:p>
        </w:tc>
        <w:tc>
          <w:tcPr>
            <w:tcW w:w="1418" w:type="dxa"/>
            <w:tcBorders>
              <w:top w:val="single" w:color="auto" w:sz="4" w:space="0"/>
              <w:left w:val="nil"/>
              <w:bottom w:val="single" w:color="auto" w:sz="4" w:space="0"/>
              <w:right w:val="single" w:color="auto" w:sz="4" w:space="0"/>
            </w:tcBorders>
            <w:noWrap w:val="0"/>
            <w:vAlign w:val="center"/>
          </w:tcPr>
          <w:p w14:paraId="28377ED5">
            <w:pPr>
              <w:spacing w:line="360" w:lineRule="auto"/>
              <w:ind w:right="21" w:rightChars="10"/>
              <w:jc w:val="center"/>
              <w:rPr>
                <w:rFonts w:ascii="宋体" w:hAnsi="宋体"/>
                <w:color w:val="auto"/>
                <w:szCs w:val="21"/>
              </w:rPr>
            </w:pPr>
            <w:r>
              <w:rPr>
                <w:rFonts w:hint="eastAsia" w:ascii="宋体" w:hAnsi="宋体" w:cs="仿宋"/>
                <w:color w:val="auto"/>
                <w:szCs w:val="21"/>
              </w:rPr>
              <w:t>付款方式</w:t>
            </w:r>
          </w:p>
        </w:tc>
        <w:tc>
          <w:tcPr>
            <w:tcW w:w="6818" w:type="dxa"/>
            <w:tcBorders>
              <w:top w:val="single" w:color="auto" w:sz="4" w:space="0"/>
              <w:left w:val="nil"/>
              <w:bottom w:val="single" w:color="auto" w:sz="4" w:space="0"/>
              <w:right w:val="single" w:color="auto" w:sz="4" w:space="0"/>
            </w:tcBorders>
            <w:noWrap w:val="0"/>
            <w:vAlign w:val="center"/>
          </w:tcPr>
          <w:p w14:paraId="589595F3">
            <w:pPr>
              <w:spacing w:line="360" w:lineRule="auto"/>
              <w:jc w:val="left"/>
              <w:rPr>
                <w:rFonts w:hint="eastAsia" w:ascii="宋体" w:hAnsi="宋体" w:cs="宋体"/>
                <w:color w:val="auto"/>
                <w:szCs w:val="21"/>
              </w:rPr>
            </w:pPr>
            <w:r>
              <w:rPr>
                <w:rFonts w:hint="eastAsia" w:ascii="宋体" w:hAnsi="宋体" w:cs="宋体"/>
                <w:color w:val="auto"/>
                <w:szCs w:val="21"/>
              </w:rPr>
              <w:t>采购人与供应商在合同中自行约定。</w:t>
            </w:r>
          </w:p>
        </w:tc>
      </w:tr>
      <w:tr w14:paraId="141486AE">
        <w:tblPrEx>
          <w:tblCellMar>
            <w:top w:w="0" w:type="dxa"/>
            <w:left w:w="108" w:type="dxa"/>
            <w:bottom w:w="0" w:type="dxa"/>
            <w:right w:w="108" w:type="dxa"/>
          </w:tblCellMar>
        </w:tblPrEx>
        <w:trPr>
          <w:trHeight w:val="537" w:hRule="atLeast"/>
          <w:jc w:val="center"/>
        </w:trPr>
        <w:tc>
          <w:tcPr>
            <w:tcW w:w="810" w:type="dxa"/>
            <w:tcBorders>
              <w:top w:val="single" w:color="auto" w:sz="4" w:space="0"/>
              <w:left w:val="single" w:color="auto" w:sz="4" w:space="0"/>
              <w:bottom w:val="single" w:color="auto" w:sz="4" w:space="0"/>
              <w:right w:val="single" w:color="auto" w:sz="4" w:space="0"/>
            </w:tcBorders>
            <w:noWrap w:val="0"/>
            <w:vAlign w:val="center"/>
          </w:tcPr>
          <w:p w14:paraId="205FE799">
            <w:pPr>
              <w:spacing w:line="360" w:lineRule="auto"/>
              <w:ind w:right="21" w:rightChars="10"/>
              <w:jc w:val="center"/>
              <w:rPr>
                <w:rFonts w:ascii="宋体" w:hAnsi="宋体" w:cs="仿宋"/>
                <w:color w:val="auto"/>
                <w:szCs w:val="21"/>
              </w:rPr>
            </w:pPr>
            <w:r>
              <w:rPr>
                <w:rFonts w:hint="eastAsia" w:ascii="宋体" w:hAnsi="宋体" w:cs="仿宋"/>
                <w:color w:val="auto"/>
                <w:szCs w:val="21"/>
              </w:rPr>
              <w:t>8</w:t>
            </w:r>
          </w:p>
        </w:tc>
        <w:tc>
          <w:tcPr>
            <w:tcW w:w="1418" w:type="dxa"/>
            <w:tcBorders>
              <w:top w:val="single" w:color="auto" w:sz="4" w:space="0"/>
              <w:left w:val="nil"/>
              <w:bottom w:val="single" w:color="auto" w:sz="4" w:space="0"/>
              <w:right w:val="single" w:color="auto" w:sz="4" w:space="0"/>
            </w:tcBorders>
            <w:noWrap w:val="0"/>
            <w:vAlign w:val="center"/>
          </w:tcPr>
          <w:p w14:paraId="3C026341">
            <w:pPr>
              <w:spacing w:line="360" w:lineRule="auto"/>
              <w:ind w:right="21" w:rightChars="10"/>
              <w:jc w:val="center"/>
              <w:rPr>
                <w:rFonts w:ascii="宋体" w:hAnsi="宋体" w:cs="仿宋"/>
                <w:color w:val="auto"/>
                <w:szCs w:val="21"/>
              </w:rPr>
            </w:pPr>
            <w:r>
              <w:rPr>
                <w:rFonts w:hint="eastAsia" w:ascii="宋体" w:hAnsi="宋体" w:cs="仿宋_GB2312"/>
                <w:b/>
                <w:color w:val="auto"/>
                <w:sz w:val="24"/>
              </w:rPr>
              <w:t>★</w:t>
            </w:r>
            <w:r>
              <w:rPr>
                <w:rFonts w:hint="eastAsia" w:ascii="宋体" w:hAnsi="宋体" w:cs="仿宋"/>
                <w:color w:val="auto"/>
                <w:szCs w:val="21"/>
              </w:rPr>
              <w:t>验收</w:t>
            </w:r>
          </w:p>
        </w:tc>
        <w:tc>
          <w:tcPr>
            <w:tcW w:w="6818" w:type="dxa"/>
            <w:tcBorders>
              <w:top w:val="single" w:color="auto" w:sz="4" w:space="0"/>
              <w:left w:val="nil"/>
              <w:bottom w:val="single" w:color="auto" w:sz="4" w:space="0"/>
              <w:right w:val="single" w:color="auto" w:sz="4" w:space="0"/>
            </w:tcBorders>
            <w:noWrap w:val="0"/>
            <w:vAlign w:val="center"/>
          </w:tcPr>
          <w:p w14:paraId="2102DD33">
            <w:pPr>
              <w:spacing w:line="360" w:lineRule="auto"/>
              <w:rPr>
                <w:rFonts w:ascii="宋体" w:hAnsi="宋体" w:cs="仿宋"/>
                <w:color w:val="auto"/>
                <w:szCs w:val="21"/>
              </w:rPr>
            </w:pPr>
            <w:r>
              <w:rPr>
                <w:rFonts w:hint="eastAsia" w:ascii="宋体" w:hAnsi="宋体" w:cs="仿宋"/>
                <w:color w:val="auto"/>
                <w:szCs w:val="21"/>
              </w:rPr>
              <w:t>1.本项目采购人将按照合同约定，依据政府采购相关法律法规、《财政部关于进一步加强政府采购需求和履约验收管理的指导意见》（财库〔2016〕205号）、《政府采购需求管理办法》（财库〔2021〕22号）的要求及国家行业主管部门规定的标准、方法和内容组织验收：按照行业相关技术标准和规定，由采购人组织相关单位及专业人员验收。</w:t>
            </w:r>
          </w:p>
          <w:p w14:paraId="36934A2A">
            <w:pPr>
              <w:spacing w:line="360" w:lineRule="auto"/>
              <w:rPr>
                <w:rFonts w:ascii="宋体" w:hAnsi="宋体" w:cs="仿宋"/>
                <w:color w:val="auto"/>
                <w:szCs w:val="21"/>
              </w:rPr>
            </w:pPr>
            <w:r>
              <w:rPr>
                <w:rFonts w:hint="eastAsia" w:ascii="宋体" w:hAnsi="宋体" w:cs="仿宋"/>
                <w:color w:val="auto"/>
                <w:szCs w:val="21"/>
              </w:rPr>
              <w:t>2.交付竣工验收的工程，必须符合规定的工程质量标准，有完整的工程技术经济资料和经签署的工程保修书，并具备国家规定的其他竣工条件。工程竣工经验收合格后，方可交付使用；未经验收或者验收不合格的，不得交付使用。</w:t>
            </w:r>
          </w:p>
          <w:p w14:paraId="5CFCB15F">
            <w:pPr>
              <w:spacing w:line="360" w:lineRule="auto"/>
              <w:rPr>
                <w:rFonts w:ascii="宋体" w:hAnsi="宋体" w:cs="仿宋"/>
                <w:color w:val="auto"/>
                <w:szCs w:val="21"/>
              </w:rPr>
            </w:pPr>
            <w:r>
              <w:rPr>
                <w:rFonts w:hint="eastAsia" w:ascii="宋体" w:hAnsi="宋体" w:cs="仿宋"/>
                <w:color w:val="auto"/>
                <w:szCs w:val="21"/>
              </w:rPr>
              <w:t>（1）验收结果合格的，采购人应向成交供应商出具履约验收报告，成交供应商凭验收报告办理相关手续。</w:t>
            </w:r>
          </w:p>
          <w:p w14:paraId="53969F47">
            <w:pPr>
              <w:spacing w:line="360" w:lineRule="auto"/>
              <w:rPr>
                <w:rFonts w:ascii="宋体" w:hAnsi="宋体" w:cs="仿宋"/>
                <w:color w:val="auto"/>
                <w:szCs w:val="21"/>
              </w:rPr>
            </w:pPr>
            <w:r>
              <w:rPr>
                <w:rFonts w:hint="eastAsia" w:ascii="宋体" w:hAnsi="宋体" w:cs="仿宋"/>
                <w:color w:val="auto"/>
                <w:szCs w:val="21"/>
              </w:rPr>
              <w:t xml:space="preserve">（2）验收结果不合格的，履约保证金将不予退还，给采购人造成的损失超过履约保证金数额的，还应当对超过部分予以赔偿；没有提交履约保证金的，应当对采购人的损失承担赔偿责任。  </w:t>
            </w:r>
          </w:p>
        </w:tc>
      </w:tr>
      <w:tr w14:paraId="64425AC7">
        <w:tblPrEx>
          <w:tblCellMar>
            <w:top w:w="0" w:type="dxa"/>
            <w:left w:w="108" w:type="dxa"/>
            <w:bottom w:w="0" w:type="dxa"/>
            <w:right w:w="108" w:type="dxa"/>
          </w:tblCellMar>
        </w:tblPrEx>
        <w:trPr>
          <w:trHeight w:val="705" w:hRule="atLeast"/>
          <w:jc w:val="center"/>
        </w:trPr>
        <w:tc>
          <w:tcPr>
            <w:tcW w:w="810" w:type="dxa"/>
            <w:tcBorders>
              <w:top w:val="single" w:color="auto" w:sz="4" w:space="0"/>
              <w:left w:val="single" w:color="auto" w:sz="4" w:space="0"/>
              <w:bottom w:val="single" w:color="auto" w:sz="4" w:space="0"/>
              <w:right w:val="single" w:color="auto" w:sz="4" w:space="0"/>
            </w:tcBorders>
            <w:noWrap w:val="0"/>
            <w:vAlign w:val="center"/>
          </w:tcPr>
          <w:p w14:paraId="394B6D18">
            <w:pPr>
              <w:spacing w:line="360" w:lineRule="auto"/>
              <w:jc w:val="center"/>
              <w:rPr>
                <w:rFonts w:ascii="宋体" w:hAnsi="宋体" w:cs="仿宋"/>
                <w:color w:val="auto"/>
                <w:szCs w:val="21"/>
              </w:rPr>
            </w:pPr>
            <w:r>
              <w:rPr>
                <w:rFonts w:hint="eastAsia" w:ascii="宋体" w:hAnsi="宋体" w:cs="仿宋"/>
                <w:color w:val="auto"/>
                <w:szCs w:val="21"/>
              </w:rPr>
              <w:t>9</w:t>
            </w:r>
          </w:p>
        </w:tc>
        <w:tc>
          <w:tcPr>
            <w:tcW w:w="1418" w:type="dxa"/>
            <w:tcBorders>
              <w:top w:val="single" w:color="auto" w:sz="4" w:space="0"/>
              <w:left w:val="nil"/>
              <w:bottom w:val="single" w:color="auto" w:sz="4" w:space="0"/>
              <w:right w:val="single" w:color="auto" w:sz="4" w:space="0"/>
            </w:tcBorders>
            <w:noWrap w:val="0"/>
            <w:vAlign w:val="center"/>
          </w:tcPr>
          <w:p w14:paraId="61D8744F">
            <w:pPr>
              <w:spacing w:line="360" w:lineRule="auto"/>
              <w:jc w:val="center"/>
              <w:rPr>
                <w:rFonts w:ascii="宋体" w:hAnsi="宋体" w:cs="仿宋"/>
                <w:color w:val="auto"/>
                <w:szCs w:val="21"/>
              </w:rPr>
            </w:pPr>
            <w:r>
              <w:rPr>
                <w:rFonts w:hint="eastAsia" w:ascii="宋体" w:hAnsi="宋体" w:cs="仿宋"/>
                <w:color w:val="auto"/>
                <w:szCs w:val="21"/>
              </w:rPr>
              <w:t>其他</w:t>
            </w:r>
          </w:p>
        </w:tc>
        <w:tc>
          <w:tcPr>
            <w:tcW w:w="6818" w:type="dxa"/>
            <w:tcBorders>
              <w:top w:val="single" w:color="auto" w:sz="4" w:space="0"/>
              <w:left w:val="nil"/>
              <w:bottom w:val="single" w:color="auto" w:sz="4" w:space="0"/>
              <w:right w:val="single" w:color="auto" w:sz="4" w:space="0"/>
            </w:tcBorders>
            <w:noWrap w:val="0"/>
            <w:vAlign w:val="center"/>
          </w:tcPr>
          <w:p w14:paraId="409C04BE">
            <w:pPr>
              <w:spacing w:line="360" w:lineRule="auto"/>
              <w:rPr>
                <w:rFonts w:ascii="宋体" w:hAnsi="宋体" w:cs="仿宋"/>
                <w:color w:val="auto"/>
                <w:szCs w:val="21"/>
              </w:rPr>
            </w:pPr>
            <w:r>
              <w:rPr>
                <w:rFonts w:hint="eastAsia" w:ascii="宋体" w:hAnsi="宋体" w:cs="仿宋"/>
                <w:color w:val="auto"/>
                <w:szCs w:val="21"/>
              </w:rPr>
              <w:t>1.采购人不组织项目现场踏勘，潜在供应商可自行前往现场进行踏勘，供应商应对踏勘中获取的现场资料负责。</w:t>
            </w:r>
          </w:p>
          <w:p w14:paraId="4DCBDECE">
            <w:pPr>
              <w:spacing w:line="360" w:lineRule="auto"/>
              <w:rPr>
                <w:rFonts w:ascii="宋体" w:hAnsi="宋体" w:cs="仿宋"/>
                <w:color w:val="auto"/>
                <w:szCs w:val="21"/>
              </w:rPr>
            </w:pPr>
            <w:r>
              <w:rPr>
                <w:rFonts w:hint="eastAsia" w:ascii="宋体" w:hAnsi="宋体" w:cs="仿宋"/>
                <w:color w:val="auto"/>
                <w:szCs w:val="21"/>
              </w:rPr>
              <w:t>2.其他未尽事宜由采购人与成交供应商在合同中约定。</w:t>
            </w:r>
          </w:p>
        </w:tc>
      </w:tr>
    </w:tbl>
    <w:p w14:paraId="44FC9953">
      <w:pPr>
        <w:spacing w:line="560" w:lineRule="exact"/>
        <w:ind w:firstLine="480" w:firstLineChars="200"/>
        <w:jc w:val="left"/>
        <w:rPr>
          <w:rFonts w:hint="eastAsia" w:ascii="宋体" w:hAnsi="宋体" w:cs="仿宋_GB2312"/>
          <w:color w:val="auto"/>
          <w:sz w:val="24"/>
        </w:rPr>
      </w:pPr>
    </w:p>
    <w:p w14:paraId="1936AFDD">
      <w:pPr>
        <w:spacing w:line="560" w:lineRule="exact"/>
        <w:ind w:firstLine="482" w:firstLineChars="200"/>
        <w:jc w:val="left"/>
        <w:rPr>
          <w:rFonts w:hint="eastAsia" w:ascii="宋体" w:hAnsi="宋体"/>
          <w:b/>
          <w:color w:val="auto"/>
          <w:kern w:val="0"/>
          <w:szCs w:val="21"/>
        </w:rPr>
      </w:pPr>
      <w:r>
        <w:rPr>
          <w:rFonts w:hint="eastAsia" w:ascii="宋体" w:hAnsi="宋体" w:cs="仿宋_GB2312"/>
          <w:b/>
          <w:color w:val="auto"/>
          <w:sz w:val="24"/>
        </w:rPr>
        <w:t>带“★”作为实质性要求，不允许负偏离。</w:t>
      </w:r>
    </w:p>
    <w:p w14:paraId="2C54CB5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kwZTQzM2U5ZjRhZWVhZGYxMzM1MTU3Y2YyMjRhOGIifQ=="/>
  </w:docVars>
  <w:rsids>
    <w:rsidRoot w:val="00000000"/>
    <w:rsid w:val="3C9511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4</TotalTime>
  <ScaleCrop>false</ScaleCrop>
  <LinksUpToDate>false</LinksUpToDate>
  <CharactersWithSpaces>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2025-10-21T04:29:06Z</dcterms:created>
  <dc:creator>admin</dc:creator>
  <cp:lastModifiedBy>1</cp:lastModifiedBy>
  <dcterms:modified xsi:type="dcterms:W3CDTF">2025-10-21T04:36:24Z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69CED87F341A488CBBFC961344283DA2_12</vt:lpwstr>
  </property>
</Properties>
</file>