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14:paraId="778FE582">
      <w:pPr>
        <w:spacing w:line="360" w:lineRule="auto"/>
        <w:jc w:val="center"/>
        <w:rPr>
          <w:rFonts w:ascii="宋体" w:hAnsi="宋体" w:cs="宋体" w:hint="eastAsia"/>
          <w:b/>
          <w:bCs/>
          <w:sz w:val="28"/>
          <w:szCs w:val="28"/>
        </w:rPr>
      </w:pPr>
      <w:r>
        <w:rPr>
          <w:rFonts w:ascii="宋体" w:hAnsi="宋体" w:cs="宋体" w:hint="eastAsia"/>
          <w:b/>
          <w:bCs/>
          <w:sz w:val="28"/>
          <w:szCs w:val="28"/>
          <w:lang w:eastAsia="zh-CN"/>
        </w:rPr>
        <w:t>四川邮政省分公司2025年本部员工及退休人员健康体检服务项目（第二次）</w:t>
      </w:r>
      <w:r>
        <w:rPr>
          <w:rFonts w:ascii="宋体" w:hAnsi="宋体" w:cs="宋体" w:hint="eastAsia"/>
          <w:b/>
          <w:bCs/>
          <w:sz w:val="28"/>
          <w:szCs w:val="28"/>
        </w:rPr>
        <w:t>公开竞争性磋商公告</w:t>
      </w:r>
    </w:p>
    <w:p w14:paraId="0EBDF4C3">
      <w:pPr>
        <w:widowControl/>
        <w:autoSpaceDE w:val="0"/>
        <w:autoSpaceDN w:val="0"/>
        <w:spacing w:after="156" w:afterLines="50" w:line="240" w:lineRule="atLeast"/>
        <w:ind w:right="284" w:firstLine="480" w:firstLineChars="200"/>
        <w:textAlignment w:val="bottom"/>
        <w:rPr>
          <w:rFonts w:ascii="宋体" w:eastAsia="宋体" w:hAnsi="宋体" w:cs="宋体" w:hint="eastAsia"/>
          <w:sz w:val="24"/>
          <w:lang w:eastAsia="zh-CN"/>
        </w:rPr>
      </w:pPr>
      <w:r>
        <w:rPr>
          <w:rFonts w:ascii="宋体" w:eastAsia="宋体" w:hAnsi="宋体" w:cs="宋体" w:hint="eastAsia"/>
          <w:b/>
          <w:sz w:val="24"/>
          <w:u w:val="single"/>
        </w:rPr>
        <w:t>成都万安建设项目管理有限公司</w:t>
      </w:r>
      <w:r>
        <w:rPr>
          <w:rFonts w:ascii="宋体" w:eastAsia="宋体" w:hAnsi="宋体" w:cs="宋体" w:hint="eastAsia"/>
          <w:bCs/>
          <w:sz w:val="24"/>
          <w:u w:val="single"/>
        </w:rPr>
        <w:t>（</w:t>
      </w:r>
      <w:r>
        <w:rPr>
          <w:rFonts w:ascii="宋体" w:eastAsia="宋体" w:hAnsi="宋体" w:cs="宋体" w:hint="eastAsia"/>
          <w:sz w:val="24"/>
        </w:rPr>
        <w:t>招标代理机构）受</w:t>
      </w:r>
      <w:r>
        <w:rPr>
          <w:rFonts w:ascii="宋体" w:eastAsia="宋体" w:hAnsi="宋体" w:cs="宋体" w:hint="eastAsia"/>
          <w:b/>
          <w:sz w:val="24"/>
          <w:u w:val="single"/>
        </w:rPr>
        <w:t>中国邮政集团有限公司四川省分公司</w:t>
      </w:r>
      <w:r>
        <w:rPr>
          <w:rFonts w:ascii="宋体" w:eastAsia="宋体" w:hAnsi="宋体" w:cs="宋体" w:hint="eastAsia"/>
          <w:sz w:val="24"/>
        </w:rPr>
        <w:t>（采购人）委托，拟就</w:t>
      </w:r>
      <w:r>
        <w:rPr>
          <w:rFonts w:ascii="宋体" w:eastAsia="宋体" w:hAnsi="宋体" w:cs="宋体" w:hint="eastAsia"/>
          <w:b/>
          <w:sz w:val="24"/>
          <w:u w:val="single"/>
          <w:lang w:eastAsia="zh-CN"/>
        </w:rPr>
        <w:t>四川邮政省分公司2025年本部员工及退休人员健康体检服务项目（第二次）</w:t>
      </w:r>
      <w:r>
        <w:rPr>
          <w:rFonts w:ascii="宋体" w:eastAsia="宋体" w:hAnsi="宋体" w:cs="宋体" w:hint="eastAsia"/>
          <w:b/>
          <w:sz w:val="24"/>
          <w:u w:val="single"/>
        </w:rPr>
        <w:t>（</w:t>
      </w:r>
      <w:r>
        <w:rPr>
          <w:rFonts w:ascii="宋体" w:eastAsia="宋体" w:hAnsi="宋体" w:cs="宋体" w:hint="eastAsia"/>
          <w:b/>
          <w:sz w:val="24"/>
        </w:rPr>
        <w:t>采购编号：</w:t>
      </w:r>
      <w:r>
        <w:rPr>
          <w:rFonts w:ascii="宋体" w:eastAsia="宋体" w:hAnsi="宋体" w:cs="宋体" w:hint="eastAsia"/>
          <w:b/>
          <w:sz w:val="24"/>
          <w:lang w:eastAsia="zh-CN"/>
        </w:rPr>
        <w:t>CDWA25Z05006-3 -2</w:t>
      </w:r>
      <w:r>
        <w:rPr>
          <w:rFonts w:ascii="宋体" w:eastAsia="宋体" w:hAnsi="宋体" w:cs="宋体" w:hint="eastAsia"/>
          <w:b/>
          <w:sz w:val="24"/>
        </w:rPr>
        <w:t>）</w:t>
      </w:r>
      <w:r>
        <w:rPr>
          <w:rFonts w:ascii="宋体" w:eastAsia="宋体" w:hAnsi="宋体" w:cs="宋体" w:hint="eastAsia"/>
          <w:bCs/>
          <w:sz w:val="24"/>
        </w:rPr>
        <w:t>以</w:t>
      </w:r>
      <w:r>
        <w:rPr>
          <w:rFonts w:ascii="宋体" w:eastAsia="宋体" w:hAnsi="宋体" w:cs="宋体" w:hint="eastAsia"/>
          <w:sz w:val="24"/>
        </w:rPr>
        <w:t>公开竞争性磋商方式对有能力为本项目提供产品和服务的供应商进行采购，现邀请合格供应商提交响应文件并参与竞争性磋商</w:t>
      </w:r>
      <w:r>
        <w:rPr>
          <w:rFonts w:ascii="宋体" w:eastAsia="宋体" w:hAnsi="宋体" w:cs="宋体" w:hint="eastAsia"/>
          <w:sz w:val="24"/>
          <w:lang w:eastAsia="zh-CN"/>
        </w:rPr>
        <w:t>。</w:t>
      </w:r>
    </w:p>
    <w:p w14:paraId="1BBE6059">
      <w:pPr>
        <w:widowControl/>
        <w:numPr>
          <w:ilvl w:val="0"/>
          <w:numId w:val="0"/>
        </w:numPr>
        <w:tabs>
          <w:tab w:val="left" w:pos="540"/>
        </w:tabs>
        <w:autoSpaceDE w:val="0"/>
        <w:autoSpaceDN w:val="0"/>
        <w:spacing w:after="156" w:after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一、</w:t>
      </w:r>
      <w:r>
        <w:rPr>
          <w:rFonts w:ascii="宋体" w:eastAsia="宋体" w:hAnsi="宋体" w:cs="宋体" w:hint="eastAsia"/>
          <w:b/>
          <w:sz w:val="24"/>
        </w:rPr>
        <w:t>项目名称：</w:t>
      </w:r>
      <w:r>
        <w:rPr>
          <w:rFonts w:ascii="宋体" w:eastAsia="宋体" w:hAnsi="宋体" w:cs="宋体" w:hint="eastAsia"/>
          <w:b/>
          <w:sz w:val="24"/>
          <w:lang w:eastAsia="zh-CN"/>
        </w:rPr>
        <w:t>四川邮政省分公司2025年本部员工及退休人员健康体检服务项目（第二次）</w:t>
      </w:r>
      <w:r>
        <w:rPr>
          <w:rFonts w:ascii="宋体" w:eastAsia="宋体" w:hAnsi="宋体" w:cs="宋体" w:hint="eastAsia"/>
          <w:b/>
          <w:sz w:val="24"/>
        </w:rPr>
        <w:t>。</w:t>
      </w:r>
    </w:p>
    <w:p w14:paraId="5D20BBFB">
      <w:pPr>
        <w:widowControl/>
        <w:numPr>
          <w:ilvl w:val="0"/>
          <w:numId w:val="0"/>
        </w:numPr>
        <w:tabs>
          <w:tab w:val="left" w:pos="540"/>
        </w:tabs>
        <w:autoSpaceDE w:val="0"/>
        <w:autoSpaceDN w:val="0"/>
        <w:spacing w:after="156" w:after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二、</w:t>
      </w:r>
      <w:r>
        <w:rPr>
          <w:rFonts w:ascii="宋体" w:eastAsia="宋体" w:hAnsi="宋体" w:cs="宋体" w:hint="eastAsia"/>
          <w:b/>
          <w:sz w:val="24"/>
        </w:rPr>
        <w:t>采购编号：</w:t>
      </w:r>
      <w:r>
        <w:rPr>
          <w:rFonts w:ascii="宋体" w:eastAsia="宋体" w:hAnsi="宋体" w:cs="宋体" w:hint="eastAsia"/>
          <w:b/>
          <w:sz w:val="24"/>
          <w:lang w:eastAsia="zh-CN"/>
        </w:rPr>
        <w:t>CDWA25Z05006-3 -2</w:t>
      </w:r>
    </w:p>
    <w:p w14:paraId="02BEF034">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三、</w:t>
      </w:r>
      <w:r>
        <w:rPr>
          <w:rFonts w:ascii="宋体" w:eastAsia="宋体" w:hAnsi="宋体" w:cs="宋体" w:hint="eastAsia"/>
          <w:b/>
          <w:sz w:val="24"/>
        </w:rPr>
        <w:t>项目概述：</w:t>
      </w:r>
    </w:p>
    <w:p w14:paraId="5BF70D2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1.本次采购内容、使用范围及数量、预算详见下表。</w:t>
      </w:r>
    </w:p>
    <w:tbl>
      <w:tblPr>
        <w:tblStyle w:val="TableNormal"/>
        <w:tblW w:w="747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0" w:type="dxa"/>
          <w:bottom w:w="0" w:type="dxa"/>
          <w:right w:w="0" w:type="dxa"/>
        </w:tblCellMar>
      </w:tblPr>
      <w:tblGrid>
        <w:gridCol w:w="1561"/>
        <w:gridCol w:w="1453"/>
        <w:gridCol w:w="1528"/>
        <w:gridCol w:w="1447"/>
        <w:gridCol w:w="1490"/>
      </w:tblGrid>
      <w:tr w14:paraId="2DF52403">
        <w:tblPrEx>
          <w:tblW w:w="747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0" w:type="dxa"/>
            <w:bottom w:w="0" w:type="dxa"/>
            <w:right w:w="0" w:type="dxa"/>
          </w:tblCellMar>
        </w:tblPrEx>
        <w:trPr>
          <w:trHeight w:val="398"/>
          <w:jc w:val="center"/>
        </w:trPr>
        <w:tc>
          <w:tcPr>
            <w:tcW w:w="1561" w:type="dxa"/>
            <w:vMerge w:val="restart"/>
            <w:tcBorders>
              <w:tl2br w:val="nil"/>
              <w:tr2bl w:val="nil"/>
            </w:tcBorders>
            <w:noWrap/>
            <w:tcMar>
              <w:top w:w="12" w:type="dxa"/>
              <w:left w:w="12" w:type="dxa"/>
              <w:right w:w="12" w:type="dxa"/>
            </w:tcMar>
            <w:vAlign w:val="center"/>
          </w:tcPr>
          <w:p w14:paraId="73DDB28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人员类别</w:t>
            </w:r>
          </w:p>
        </w:tc>
        <w:tc>
          <w:tcPr>
            <w:tcW w:w="5918" w:type="dxa"/>
            <w:gridSpan w:val="4"/>
            <w:tcBorders>
              <w:tl2br w:val="nil"/>
              <w:tr2bl w:val="nil"/>
            </w:tcBorders>
            <w:noWrap w:val="0"/>
            <w:tcMar>
              <w:top w:w="12" w:type="dxa"/>
              <w:left w:w="12" w:type="dxa"/>
              <w:right w:w="12" w:type="dxa"/>
            </w:tcMar>
            <w:vAlign w:val="center"/>
          </w:tcPr>
          <w:p w14:paraId="17658215">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2025年度参检人数（人）</w:t>
            </w:r>
          </w:p>
        </w:tc>
      </w:tr>
      <w:tr w14:paraId="166CF8E5">
        <w:tblPrEx>
          <w:tblW w:w="7479" w:type="dxa"/>
          <w:jc w:val="center"/>
          <w:tblLayout w:type="fixed"/>
          <w:tblCellMar>
            <w:top w:w="0" w:type="dxa"/>
            <w:left w:w="0" w:type="dxa"/>
            <w:bottom w:w="0" w:type="dxa"/>
            <w:right w:w="0" w:type="dxa"/>
          </w:tblCellMar>
        </w:tblPrEx>
        <w:trPr>
          <w:trHeight w:val="689"/>
          <w:jc w:val="center"/>
        </w:trPr>
        <w:tc>
          <w:tcPr>
            <w:tcW w:w="1561" w:type="dxa"/>
            <w:vMerge/>
            <w:tcBorders>
              <w:tl2br w:val="nil"/>
              <w:tr2bl w:val="nil"/>
            </w:tcBorders>
            <w:noWrap/>
            <w:tcMar>
              <w:top w:w="12" w:type="dxa"/>
              <w:left w:w="12" w:type="dxa"/>
              <w:right w:w="12" w:type="dxa"/>
            </w:tcMar>
            <w:vAlign w:val="center"/>
          </w:tcPr>
          <w:p w14:paraId="6A389BF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p>
        </w:tc>
        <w:tc>
          <w:tcPr>
            <w:tcW w:w="1453" w:type="dxa"/>
            <w:tcBorders>
              <w:tl2br w:val="nil"/>
              <w:tr2bl w:val="nil"/>
            </w:tcBorders>
            <w:noWrap/>
            <w:tcMar>
              <w:top w:w="12" w:type="dxa"/>
              <w:left w:w="12" w:type="dxa"/>
              <w:right w:w="12" w:type="dxa"/>
            </w:tcMar>
            <w:vAlign w:val="center"/>
          </w:tcPr>
          <w:p w14:paraId="17D440F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男性</w:t>
            </w:r>
          </w:p>
        </w:tc>
        <w:tc>
          <w:tcPr>
            <w:tcW w:w="1528" w:type="dxa"/>
            <w:tcBorders>
              <w:tl2br w:val="nil"/>
              <w:tr2bl w:val="nil"/>
            </w:tcBorders>
            <w:noWrap/>
            <w:tcMar>
              <w:top w:w="12" w:type="dxa"/>
              <w:left w:w="12" w:type="dxa"/>
              <w:right w:w="12" w:type="dxa"/>
            </w:tcMar>
            <w:vAlign w:val="center"/>
          </w:tcPr>
          <w:p w14:paraId="2A86A76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已婚女性</w:t>
            </w:r>
          </w:p>
        </w:tc>
        <w:tc>
          <w:tcPr>
            <w:tcW w:w="1447" w:type="dxa"/>
            <w:tcBorders>
              <w:tl2br w:val="nil"/>
              <w:tr2bl w:val="nil"/>
            </w:tcBorders>
            <w:noWrap/>
            <w:tcMar>
              <w:top w:w="12" w:type="dxa"/>
              <w:left w:w="12" w:type="dxa"/>
              <w:right w:w="12" w:type="dxa"/>
            </w:tcMar>
            <w:vAlign w:val="center"/>
          </w:tcPr>
          <w:p w14:paraId="31BC3C8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未婚女性</w:t>
            </w:r>
          </w:p>
        </w:tc>
        <w:tc>
          <w:tcPr>
            <w:tcW w:w="1490" w:type="dxa"/>
            <w:tcBorders>
              <w:tl2br w:val="nil"/>
              <w:tr2bl w:val="nil"/>
            </w:tcBorders>
            <w:noWrap/>
            <w:tcMar>
              <w:top w:w="12" w:type="dxa"/>
              <w:left w:w="12" w:type="dxa"/>
              <w:right w:w="12" w:type="dxa"/>
            </w:tcMar>
            <w:vAlign w:val="center"/>
          </w:tcPr>
          <w:p w14:paraId="7C36F13E">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小计</w:t>
            </w:r>
          </w:p>
        </w:tc>
      </w:tr>
      <w:tr w14:paraId="4B0A84AF">
        <w:tblPrEx>
          <w:tblW w:w="7479" w:type="dxa"/>
          <w:jc w:val="center"/>
          <w:tblLayout w:type="fixed"/>
          <w:tblCellMar>
            <w:top w:w="0" w:type="dxa"/>
            <w:left w:w="0" w:type="dxa"/>
            <w:bottom w:w="0" w:type="dxa"/>
            <w:right w:w="0" w:type="dxa"/>
          </w:tblCellMar>
        </w:tblPrEx>
        <w:trPr>
          <w:trHeight w:val="689"/>
          <w:jc w:val="center"/>
        </w:trPr>
        <w:tc>
          <w:tcPr>
            <w:tcW w:w="1561" w:type="dxa"/>
            <w:tcBorders>
              <w:tl2br w:val="nil"/>
              <w:tr2bl w:val="nil"/>
            </w:tcBorders>
            <w:noWrap/>
            <w:tcMar>
              <w:top w:w="12" w:type="dxa"/>
              <w:left w:w="12" w:type="dxa"/>
              <w:right w:w="12" w:type="dxa"/>
            </w:tcMar>
            <w:vAlign w:val="center"/>
          </w:tcPr>
          <w:p w14:paraId="7C4EAD4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在职员工</w:t>
            </w:r>
          </w:p>
        </w:tc>
        <w:tc>
          <w:tcPr>
            <w:tcW w:w="1453" w:type="dxa"/>
            <w:tcBorders>
              <w:tl2br w:val="nil"/>
              <w:tr2bl w:val="nil"/>
            </w:tcBorders>
            <w:noWrap/>
            <w:tcMar>
              <w:top w:w="12" w:type="dxa"/>
              <w:left w:w="12" w:type="dxa"/>
              <w:right w:w="12" w:type="dxa"/>
            </w:tcMar>
            <w:vAlign w:val="center"/>
          </w:tcPr>
          <w:p w14:paraId="60B109CA">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293</w:t>
            </w:r>
          </w:p>
        </w:tc>
        <w:tc>
          <w:tcPr>
            <w:tcW w:w="1528" w:type="dxa"/>
            <w:tcBorders>
              <w:tl2br w:val="nil"/>
              <w:tr2bl w:val="nil"/>
            </w:tcBorders>
            <w:noWrap/>
            <w:tcMar>
              <w:top w:w="12" w:type="dxa"/>
              <w:left w:w="12" w:type="dxa"/>
              <w:right w:w="12" w:type="dxa"/>
            </w:tcMar>
            <w:vAlign w:val="center"/>
          </w:tcPr>
          <w:p w14:paraId="458764D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242</w:t>
            </w:r>
          </w:p>
        </w:tc>
        <w:tc>
          <w:tcPr>
            <w:tcW w:w="1447" w:type="dxa"/>
            <w:tcBorders>
              <w:tl2br w:val="nil"/>
              <w:tr2bl w:val="nil"/>
            </w:tcBorders>
            <w:noWrap/>
            <w:tcMar>
              <w:top w:w="12" w:type="dxa"/>
              <w:left w:w="12" w:type="dxa"/>
              <w:right w:w="12" w:type="dxa"/>
            </w:tcMar>
            <w:vAlign w:val="center"/>
          </w:tcPr>
          <w:p w14:paraId="6764BD1E">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50</w:t>
            </w:r>
          </w:p>
        </w:tc>
        <w:tc>
          <w:tcPr>
            <w:tcW w:w="1490" w:type="dxa"/>
            <w:tcBorders>
              <w:tl2br w:val="nil"/>
              <w:tr2bl w:val="nil"/>
            </w:tcBorders>
            <w:noWrap/>
            <w:tcMar>
              <w:top w:w="12" w:type="dxa"/>
              <w:left w:w="12" w:type="dxa"/>
              <w:right w:w="12" w:type="dxa"/>
            </w:tcMar>
            <w:vAlign w:val="center"/>
          </w:tcPr>
          <w:p w14:paraId="37FD0808">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585</w:t>
            </w:r>
          </w:p>
        </w:tc>
      </w:tr>
      <w:tr w14:paraId="34245FCD">
        <w:tblPrEx>
          <w:tblW w:w="7479" w:type="dxa"/>
          <w:jc w:val="center"/>
          <w:tblLayout w:type="fixed"/>
          <w:tblCellMar>
            <w:top w:w="0" w:type="dxa"/>
            <w:left w:w="0" w:type="dxa"/>
            <w:bottom w:w="0" w:type="dxa"/>
            <w:right w:w="0" w:type="dxa"/>
          </w:tblCellMar>
        </w:tblPrEx>
        <w:trPr>
          <w:trHeight w:val="689"/>
          <w:jc w:val="center"/>
        </w:trPr>
        <w:tc>
          <w:tcPr>
            <w:tcW w:w="1561" w:type="dxa"/>
            <w:tcBorders>
              <w:tl2br w:val="nil"/>
              <w:tr2bl w:val="nil"/>
            </w:tcBorders>
            <w:noWrap/>
            <w:tcMar>
              <w:top w:w="12" w:type="dxa"/>
              <w:left w:w="12" w:type="dxa"/>
              <w:right w:w="12" w:type="dxa"/>
            </w:tcMar>
            <w:vAlign w:val="center"/>
          </w:tcPr>
          <w:p w14:paraId="1B3E3AD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退休人员</w:t>
            </w:r>
          </w:p>
        </w:tc>
        <w:tc>
          <w:tcPr>
            <w:tcW w:w="1453" w:type="dxa"/>
            <w:tcBorders>
              <w:tl2br w:val="nil"/>
              <w:tr2bl w:val="nil"/>
            </w:tcBorders>
            <w:noWrap/>
            <w:tcMar>
              <w:top w:w="12" w:type="dxa"/>
              <w:left w:w="12" w:type="dxa"/>
              <w:right w:w="12" w:type="dxa"/>
            </w:tcMar>
            <w:vAlign w:val="center"/>
          </w:tcPr>
          <w:p w14:paraId="11E8DE3D">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160</w:t>
            </w:r>
          </w:p>
        </w:tc>
        <w:tc>
          <w:tcPr>
            <w:tcW w:w="2975" w:type="dxa"/>
            <w:gridSpan w:val="2"/>
            <w:tcBorders>
              <w:tl2br w:val="nil"/>
              <w:tr2bl w:val="nil"/>
            </w:tcBorders>
            <w:noWrap/>
            <w:tcMar>
              <w:top w:w="12" w:type="dxa"/>
              <w:left w:w="12" w:type="dxa"/>
              <w:right w:w="12" w:type="dxa"/>
            </w:tcMar>
            <w:vAlign w:val="center"/>
          </w:tcPr>
          <w:p w14:paraId="49650B9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165</w:t>
            </w:r>
          </w:p>
        </w:tc>
        <w:tc>
          <w:tcPr>
            <w:tcW w:w="1490" w:type="dxa"/>
            <w:tcBorders>
              <w:tl2br w:val="nil"/>
              <w:tr2bl w:val="nil"/>
            </w:tcBorders>
            <w:noWrap/>
            <w:tcMar>
              <w:top w:w="12" w:type="dxa"/>
              <w:left w:w="12" w:type="dxa"/>
              <w:right w:w="12" w:type="dxa"/>
            </w:tcMar>
            <w:vAlign w:val="center"/>
          </w:tcPr>
          <w:p w14:paraId="78372FD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325</w:t>
            </w:r>
          </w:p>
        </w:tc>
      </w:tr>
      <w:tr w14:paraId="393BECFD">
        <w:tblPrEx>
          <w:tblW w:w="7479" w:type="dxa"/>
          <w:jc w:val="center"/>
          <w:tblLayout w:type="fixed"/>
          <w:tblCellMar>
            <w:top w:w="0" w:type="dxa"/>
            <w:left w:w="0" w:type="dxa"/>
            <w:bottom w:w="0" w:type="dxa"/>
            <w:right w:w="0" w:type="dxa"/>
          </w:tblCellMar>
        </w:tblPrEx>
        <w:trPr>
          <w:trHeight w:val="439"/>
          <w:jc w:val="center"/>
        </w:trPr>
        <w:tc>
          <w:tcPr>
            <w:tcW w:w="1561" w:type="dxa"/>
            <w:tcBorders>
              <w:tl2br w:val="nil"/>
              <w:tr2bl w:val="nil"/>
            </w:tcBorders>
            <w:noWrap/>
            <w:tcMar>
              <w:top w:w="12" w:type="dxa"/>
              <w:left w:w="12" w:type="dxa"/>
              <w:right w:w="12" w:type="dxa"/>
            </w:tcMar>
            <w:vAlign w:val="center"/>
          </w:tcPr>
          <w:p w14:paraId="7EEA176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合计</w:t>
            </w:r>
          </w:p>
        </w:tc>
        <w:tc>
          <w:tcPr>
            <w:tcW w:w="1453" w:type="dxa"/>
            <w:tcBorders>
              <w:tl2br w:val="nil"/>
              <w:tr2bl w:val="nil"/>
            </w:tcBorders>
            <w:noWrap/>
            <w:tcMar>
              <w:top w:w="12" w:type="dxa"/>
              <w:left w:w="12" w:type="dxa"/>
              <w:right w:w="12" w:type="dxa"/>
            </w:tcMar>
            <w:vAlign w:val="center"/>
          </w:tcPr>
          <w:p w14:paraId="689E7D00">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453</w:t>
            </w:r>
          </w:p>
        </w:tc>
        <w:tc>
          <w:tcPr>
            <w:tcW w:w="2975" w:type="dxa"/>
            <w:gridSpan w:val="2"/>
            <w:tcBorders>
              <w:tl2br w:val="nil"/>
              <w:tr2bl w:val="nil"/>
            </w:tcBorders>
            <w:noWrap/>
            <w:tcMar>
              <w:top w:w="12" w:type="dxa"/>
              <w:left w:w="12" w:type="dxa"/>
              <w:right w:w="12" w:type="dxa"/>
            </w:tcMar>
            <w:vAlign w:val="center"/>
          </w:tcPr>
          <w:p w14:paraId="3E9CF3AA">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457</w:t>
            </w:r>
          </w:p>
        </w:tc>
        <w:tc>
          <w:tcPr>
            <w:tcW w:w="1490" w:type="dxa"/>
            <w:tcBorders>
              <w:tl2br w:val="nil"/>
              <w:tr2bl w:val="nil"/>
            </w:tcBorders>
            <w:noWrap/>
            <w:tcMar>
              <w:top w:w="12" w:type="dxa"/>
              <w:left w:w="12" w:type="dxa"/>
              <w:right w:w="12" w:type="dxa"/>
            </w:tcMar>
            <w:vAlign w:val="center"/>
          </w:tcPr>
          <w:p w14:paraId="77E2BE3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910</w:t>
            </w:r>
          </w:p>
        </w:tc>
      </w:tr>
    </w:tbl>
    <w:p w14:paraId="5FE1314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p>
    <w:p w14:paraId="0F9CFB5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2025年度员工及退休人员健康体检服务预算费用总计：179万元。</w:t>
      </w:r>
    </w:p>
    <w:p w14:paraId="24E1671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2.服务期限为1年，根据实际发生金额据实结算，费用由省分公司承担。</w:t>
      </w:r>
    </w:p>
    <w:p w14:paraId="09BC0E78">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四、</w:t>
      </w:r>
      <w:r>
        <w:rPr>
          <w:rFonts w:ascii="宋体" w:eastAsia="宋体" w:hAnsi="宋体" w:cs="宋体" w:hint="eastAsia"/>
          <w:b/>
          <w:sz w:val="24"/>
        </w:rPr>
        <w:t>供应商资格条件：</w:t>
      </w:r>
    </w:p>
    <w:p w14:paraId="0FD77360">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lang w:val="en-US" w:eastAsia="zh-CN"/>
        </w:rPr>
      </w:pPr>
      <w:r>
        <w:rPr>
          <w:rFonts w:ascii="宋体" w:eastAsia="宋体" w:hAnsi="宋体" w:cs="仿宋" w:hint="eastAsia"/>
          <w:sz w:val="24"/>
          <w:lang w:val="en-US" w:eastAsia="zh-CN"/>
        </w:rPr>
        <w:t>1.投标人须为在中华人民共和国境内(港澳台、除外)依法注册的、具有独立法人资格的、能独立承担民事责任的、有能力为本项目提供货物和服务的单位。（注：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它组织：提供“对应主管部门颁发的准许执业证明文件或营业执照”。以上均提供复印件）。</w:t>
      </w:r>
    </w:p>
    <w:p w14:paraId="45CE1C83">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lang w:val="en-US" w:eastAsia="zh-CN"/>
        </w:rPr>
      </w:pPr>
      <w:r>
        <w:rPr>
          <w:rFonts w:ascii="宋体" w:eastAsia="宋体" w:hAnsi="宋体" w:cs="仿宋" w:hint="eastAsia"/>
          <w:sz w:val="24"/>
          <w:lang w:val="en-US" w:eastAsia="zh-CN"/>
        </w:rPr>
        <w:t>2.具备《医疗机构执业许可证》；</w:t>
      </w:r>
    </w:p>
    <w:p w14:paraId="6ABEC8DC">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lang w:val="en-US" w:eastAsia="zh-CN"/>
        </w:rPr>
      </w:pPr>
      <w:r>
        <w:rPr>
          <w:rFonts w:ascii="宋体" w:eastAsia="宋体" w:hAnsi="宋体" w:cs="仿宋" w:hint="eastAsia"/>
          <w:sz w:val="24"/>
          <w:lang w:val="en-US" w:eastAsia="zh-CN"/>
        </w:rPr>
        <w:t>3.具备有效的放射诊疗许可证（对已办理多证合一的机构，只须提供诊疗科目含放射诊断或放射治疗的《医疗机构许可证》）和《辐射安全许可证》；</w:t>
      </w:r>
    </w:p>
    <w:p w14:paraId="7C453BD7">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lang w:val="en-US" w:eastAsia="zh-CN"/>
        </w:rPr>
      </w:pPr>
      <w:r>
        <w:rPr>
          <w:rFonts w:ascii="宋体" w:eastAsia="宋体" w:hAnsi="宋体" w:cs="仿宋" w:hint="eastAsia"/>
          <w:sz w:val="24"/>
          <w:lang w:val="en-US" w:eastAsia="zh-CN"/>
        </w:rPr>
        <w:t>4.供应商应为三级甲等综合性医院，并提供“三级甲等综合资格”的证明材料复印件3.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提供承诺函并加盖公章）</w:t>
      </w:r>
    </w:p>
    <w:p w14:paraId="3B39DD95">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lang w:val="en-US" w:eastAsia="zh-CN"/>
        </w:rPr>
      </w:pPr>
      <w:r>
        <w:rPr>
          <w:rFonts w:ascii="宋体" w:eastAsia="宋体" w:hAnsi="宋体" w:cs="仿宋" w:hint="eastAsia"/>
          <w:sz w:val="24"/>
          <w:lang w:val="en-US" w:eastAsia="zh-CN"/>
        </w:rPr>
        <w:t>5.被中国邮政集团有限公司四川省分公司列入黑名单且在有效期内的供应商，无资格参加本项目的采购活动。（提供承诺函并加盖公章）</w:t>
      </w:r>
    </w:p>
    <w:p w14:paraId="21B14584">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lang w:val="en-US" w:eastAsia="zh-CN"/>
        </w:rPr>
      </w:pPr>
      <w:r>
        <w:rPr>
          <w:rFonts w:ascii="宋体" w:eastAsia="宋体" w:hAnsi="宋体" w:cs="仿宋" w:hint="eastAsia"/>
          <w:sz w:val="24"/>
          <w:lang w:val="en-US" w:eastAsia="zh-CN"/>
        </w:rPr>
        <w:t>6.不接受联合体应答，不得转包分包。（提供承诺函并加盖公章）</w:t>
      </w:r>
    </w:p>
    <w:p w14:paraId="21181923">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lang w:val="en-US" w:eastAsia="zh-CN"/>
        </w:rPr>
      </w:pPr>
      <w:r>
        <w:rPr>
          <w:rFonts w:ascii="宋体" w:eastAsia="宋体" w:hAnsi="宋体" w:cs="仿宋" w:hint="eastAsia"/>
          <w:sz w:val="24"/>
          <w:lang w:val="en-US" w:eastAsia="zh-CN"/>
        </w:rPr>
        <w:t>7.不接受具有投资参股关系的关联企业，或单位负责人为同一人（或为直系亲属关系）或者存在控股、管理关系的不同单位同时参加投标活动。（提供承诺函并加盖公章）</w:t>
      </w:r>
    </w:p>
    <w:p w14:paraId="670194C0">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lang w:val="en-US" w:eastAsia="zh-CN"/>
        </w:rPr>
      </w:pPr>
      <w:r>
        <w:rPr>
          <w:rFonts w:ascii="宋体" w:eastAsia="宋体" w:hAnsi="宋体" w:cs="仿宋" w:hint="eastAsia"/>
          <w:sz w:val="24"/>
          <w:lang w:val="en-US" w:eastAsia="zh-CN"/>
        </w:rPr>
        <w:t>8.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函并加盖公章）</w:t>
      </w:r>
    </w:p>
    <w:p w14:paraId="177CF8DD">
      <w:pPr>
        <w:keepNext w:val="0"/>
        <w:keepLines w:val="0"/>
        <w:pageBreakBefore w:val="0"/>
        <w:widowControl/>
        <w:numPr>
          <w:ilvl w:val="0"/>
          <w:numId w:val="0"/>
        </w:numPr>
        <w:tabs>
          <w:tab w:val="left" w:pos="1418"/>
          <w:tab w:val="left" w:pos="1560"/>
        </w:tabs>
        <w:kinsoku/>
        <w:wordWrap/>
        <w:overflowPunct/>
        <w:topLinePunct w:val="0"/>
        <w:autoSpaceDE/>
        <w:autoSpaceDN/>
        <w:bidi w:val="0"/>
        <w:adjustRightInd/>
        <w:snapToGrid/>
        <w:spacing w:before="156" w:beforeLines="50" w:after="156" w:afterLines="50" w:line="240" w:lineRule="atLeast"/>
        <w:ind w:firstLine="480" w:leftChars="0" w:firstLineChars="200"/>
        <w:textAlignment w:val="baseline"/>
        <w:rPr>
          <w:rFonts w:ascii="宋体" w:eastAsia="宋体" w:hAnsi="宋体" w:cs="仿宋" w:hint="eastAsia"/>
          <w:sz w:val="24"/>
        </w:rPr>
      </w:pPr>
      <w:r>
        <w:rPr>
          <w:rFonts w:ascii="宋体" w:eastAsia="宋体" w:hAnsi="宋体" w:cs="仿宋" w:hint="eastAsia"/>
          <w:sz w:val="24"/>
          <w:lang w:val="en-US" w:eastAsia="zh-CN"/>
        </w:rPr>
        <w:t>9.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并将对应供应商列入四川邮政省分公司采购供应商黑名单</w:t>
      </w:r>
      <w:r>
        <w:rPr>
          <w:rFonts w:ascii="宋体" w:eastAsia="宋体" w:hAnsi="宋体" w:cs="仿宋" w:hint="eastAsia"/>
          <w:sz w:val="24"/>
        </w:rPr>
        <w:t>。</w:t>
      </w:r>
    </w:p>
    <w:p w14:paraId="172C7B81">
      <w:pPr>
        <w:keepNext/>
        <w:widowControl/>
        <w:numPr>
          <w:ilvl w:val="0"/>
          <w:numId w:val="0"/>
        </w:numPr>
        <w:tabs>
          <w:tab w:val="left" w:pos="540"/>
        </w:tabs>
        <w:autoSpaceDE w:val="0"/>
        <w:autoSpaceDN w:val="0"/>
        <w:spacing w:before="156" w:beforeLines="50" w:line="240" w:lineRule="atLeast"/>
        <w:ind w:left="0" w:right="-23"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五、</w:t>
      </w:r>
      <w:r>
        <w:rPr>
          <w:rFonts w:ascii="宋体" w:eastAsia="宋体" w:hAnsi="宋体" w:cs="宋体" w:hint="eastAsia"/>
          <w:b/>
          <w:sz w:val="24"/>
        </w:rPr>
        <w:t>竞争性磋商文件的获取方式：</w:t>
      </w:r>
    </w:p>
    <w:p w14:paraId="4EF81D03">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供应商自202</w:t>
      </w:r>
      <w:r>
        <w:rPr>
          <w:rFonts w:ascii="宋体" w:eastAsia="宋体" w:hAnsi="宋体" w:cs="宋体" w:hint="eastAsia"/>
          <w:sz w:val="24"/>
          <w:lang w:val="en-US" w:eastAsia="zh-CN"/>
        </w:rPr>
        <w:t>5</w:t>
      </w:r>
      <w:r>
        <w:rPr>
          <w:rFonts w:ascii="宋体" w:eastAsia="宋体" w:hAnsi="宋体" w:cs="宋体" w:hint="eastAsia"/>
          <w:sz w:val="24"/>
        </w:rPr>
        <w:t>年</w:t>
      </w:r>
      <w:r>
        <w:rPr>
          <w:rFonts w:ascii="宋体" w:eastAsia="宋体" w:hAnsi="宋体" w:cs="宋体" w:hint="eastAsia"/>
          <w:sz w:val="24"/>
          <w:lang w:val="en-US" w:eastAsia="zh-CN"/>
        </w:rPr>
        <w:t>06</w:t>
      </w:r>
      <w:r>
        <w:rPr>
          <w:rFonts w:ascii="宋体" w:eastAsia="宋体" w:hAnsi="宋体" w:cs="宋体" w:hint="eastAsia"/>
          <w:sz w:val="24"/>
        </w:rPr>
        <w:t>月</w:t>
      </w:r>
      <w:r>
        <w:rPr>
          <w:rFonts w:ascii="宋体" w:eastAsia="宋体" w:hAnsi="宋体" w:cs="宋体" w:hint="eastAsia"/>
          <w:sz w:val="24"/>
          <w:lang w:val="en-US" w:eastAsia="zh-CN"/>
        </w:rPr>
        <w:t>10</w:t>
      </w:r>
      <w:r>
        <w:rPr>
          <w:rFonts w:ascii="宋体" w:eastAsia="宋体" w:hAnsi="宋体" w:cs="宋体" w:hint="eastAsia"/>
          <w:sz w:val="24"/>
        </w:rPr>
        <w:t>日至202</w:t>
      </w:r>
      <w:r>
        <w:rPr>
          <w:rFonts w:ascii="宋体" w:eastAsia="宋体" w:hAnsi="宋体" w:cs="宋体" w:hint="eastAsia"/>
          <w:sz w:val="24"/>
          <w:lang w:val="en-US" w:eastAsia="zh-CN"/>
        </w:rPr>
        <w:t>5</w:t>
      </w:r>
      <w:r>
        <w:rPr>
          <w:rFonts w:ascii="宋体" w:eastAsia="宋体" w:hAnsi="宋体" w:cs="宋体" w:hint="eastAsia"/>
          <w:sz w:val="24"/>
        </w:rPr>
        <w:t>年</w:t>
      </w:r>
      <w:r>
        <w:rPr>
          <w:rFonts w:ascii="宋体" w:eastAsia="宋体" w:hAnsi="宋体" w:cs="宋体" w:hint="eastAsia"/>
          <w:sz w:val="24"/>
          <w:lang w:val="en-US" w:eastAsia="zh-CN"/>
        </w:rPr>
        <w:t>06</w:t>
      </w:r>
      <w:r>
        <w:rPr>
          <w:rFonts w:ascii="宋体" w:eastAsia="宋体" w:hAnsi="宋体" w:cs="宋体" w:hint="eastAsia"/>
          <w:sz w:val="24"/>
        </w:rPr>
        <w:t>月</w:t>
      </w:r>
      <w:r>
        <w:rPr>
          <w:rFonts w:ascii="宋体" w:eastAsia="宋体" w:hAnsi="宋体" w:cs="宋体" w:hint="eastAsia"/>
          <w:sz w:val="24"/>
          <w:lang w:val="en-US" w:eastAsia="zh-CN"/>
        </w:rPr>
        <w:t>13</w:t>
      </w:r>
      <w:r>
        <w:rPr>
          <w:rFonts w:ascii="宋体" w:eastAsia="宋体" w:hAnsi="宋体" w:cs="宋体" w:hint="eastAsia"/>
          <w:sz w:val="24"/>
        </w:rPr>
        <w:t>日每日上午9:00时至 12:00时，下午 14:00时至 17:00时（北京时间）按如下规定获取采购文件：</w:t>
      </w:r>
    </w:p>
    <w:p w14:paraId="484B2C4A">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1</w:t>
      </w:r>
      <w:r>
        <w:rPr>
          <w:rFonts w:ascii="宋体" w:eastAsia="宋体" w:hAnsi="宋体" w:cs="宋体" w:hint="eastAsia"/>
          <w:sz w:val="24"/>
          <w:lang w:eastAsia="zh-CN"/>
        </w:rPr>
        <w:t>.</w:t>
      </w:r>
      <w:r>
        <w:rPr>
          <w:rFonts w:ascii="宋体" w:eastAsia="宋体" w:hAnsi="宋体" w:cs="宋体" w:hint="eastAsia"/>
          <w:sz w:val="24"/>
        </w:rPr>
        <w:t>第一步，登录中国邮政集团电子采购平台(https ://cg.11185.cn)进行网络报名，并上传报名资料，等待代理机构审核。</w:t>
      </w:r>
    </w:p>
    <w:p w14:paraId="05A12526">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1.1具体操作获取方式：登录“中国邮政电子采购与供应平台”（网址：https://cg.11185.cn）办理CA证书等。流程：注册→登录→【CA办理】→查找对应项目→报名→填写相关信息→审核→下载磋商文件。CA证书办理、“中国邮政电子采购与供应平台”操作相关事宜请下载“平台首页—用户中心—下载中心—中国邮政电子采购与供应平台操作手册-电子采购分册-供应商”，网站注册与操作问题可联系客服电话400-</w:t>
      </w:r>
      <w:r>
        <w:rPr>
          <w:rFonts w:ascii="宋体" w:eastAsia="宋体" w:hAnsi="宋体" w:cs="宋体" w:hint="eastAsia"/>
          <w:sz w:val="24"/>
          <w:lang w:val="en-US" w:eastAsia="zh-CN"/>
        </w:rPr>
        <w:t>788</w:t>
      </w:r>
      <w:r>
        <w:rPr>
          <w:rFonts w:ascii="宋体" w:eastAsia="宋体" w:hAnsi="宋体" w:cs="宋体" w:hint="eastAsia"/>
          <w:sz w:val="24"/>
        </w:rPr>
        <w:t>-8</w:t>
      </w:r>
      <w:r>
        <w:rPr>
          <w:rFonts w:ascii="宋体" w:eastAsia="宋体" w:hAnsi="宋体" w:cs="宋体" w:hint="eastAsia"/>
          <w:sz w:val="24"/>
          <w:lang w:val="en-US" w:eastAsia="zh-CN"/>
        </w:rPr>
        <w:t>550</w:t>
      </w:r>
      <w:r>
        <w:rPr>
          <w:rFonts w:ascii="宋体" w:eastAsia="宋体" w:hAnsi="宋体" w:cs="宋体" w:hint="eastAsia"/>
          <w:sz w:val="24"/>
        </w:rPr>
        <w:t xml:space="preserve"> (周一～周五9:00-17:00）。</w:t>
      </w:r>
    </w:p>
    <w:p w14:paraId="0B84448D">
      <w:pPr>
        <w:adjustRightInd w:val="0"/>
        <w:snapToGrid w:val="0"/>
        <w:spacing w:before="50" w:line="240" w:lineRule="atLeast"/>
        <w:ind w:firstLine="480" w:firstLineChars="200"/>
        <w:rPr>
          <w:rFonts w:ascii="宋体" w:eastAsia="宋体" w:hAnsi="宋体" w:cs="宋体" w:hint="eastAsia"/>
          <w:sz w:val="24"/>
          <w:highlight w:val="none"/>
        </w:rPr>
      </w:pPr>
      <w:r>
        <w:rPr>
          <w:rFonts w:ascii="宋体" w:eastAsia="宋体" w:hAnsi="宋体" w:cs="宋体" w:hint="eastAsia"/>
          <w:sz w:val="24"/>
          <w:highlight w:val="none"/>
        </w:rPr>
        <w:t>1.2报名所需资料：</w:t>
      </w:r>
      <w:r>
        <w:rPr>
          <w:rFonts w:ascii="宋体" w:eastAsia="宋体" w:hAnsi="宋体" w:cs="宋体" w:hint="eastAsia"/>
          <w:b/>
          <w:bCs/>
          <w:sz w:val="24"/>
          <w:highlight w:val="none"/>
        </w:rPr>
        <w:t>单</w:t>
      </w:r>
      <w:r>
        <w:rPr>
          <w:rFonts w:ascii="宋体" w:eastAsia="宋体" w:hAnsi="宋体" w:cs="宋体" w:hint="eastAsia"/>
          <w:b/>
          <w:bCs/>
          <w:sz w:val="24"/>
          <w:highlight w:val="none"/>
          <w:lang w:val="en-US" w:eastAsia="zh-CN"/>
        </w:rPr>
        <w:t>位介</w:t>
      </w:r>
      <w:r>
        <w:rPr>
          <w:rFonts w:ascii="宋体" w:eastAsia="宋体" w:hAnsi="宋体" w:cs="宋体" w:hint="eastAsia"/>
          <w:b/>
          <w:bCs/>
          <w:sz w:val="24"/>
          <w:highlight w:val="none"/>
        </w:rPr>
        <w:t>绍信或授权委托书，附经办人身份证明文件复印件（加盖供应商鲜章），供应商为自然人的，只需提供本人身份证复印件，开户许可证。</w:t>
      </w:r>
    </w:p>
    <w:p w14:paraId="25AE34CB">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2</w:t>
      </w:r>
      <w:r>
        <w:rPr>
          <w:rFonts w:ascii="宋体" w:eastAsia="宋体" w:hAnsi="宋体" w:cs="宋体" w:hint="eastAsia"/>
          <w:sz w:val="24"/>
          <w:lang w:eastAsia="zh-CN"/>
        </w:rPr>
        <w:t>.</w:t>
      </w:r>
      <w:r>
        <w:rPr>
          <w:rFonts w:ascii="宋体" w:eastAsia="宋体" w:hAnsi="宋体" w:cs="宋体" w:hint="eastAsia"/>
          <w:sz w:val="24"/>
        </w:rPr>
        <w:t>第二步，待第一步审核通过后，</w:t>
      </w:r>
      <w:r>
        <w:rPr>
          <w:rFonts w:ascii="宋体" w:eastAsia="宋体" w:hAnsi="宋体" w:cs="宋体" w:hint="eastAsia"/>
          <w:sz w:val="24"/>
          <w:lang w:val="en-US" w:eastAsia="zh-CN"/>
        </w:rPr>
        <w:t>等待</w:t>
      </w:r>
      <w:r>
        <w:rPr>
          <w:rFonts w:ascii="宋体" w:eastAsia="宋体" w:hAnsi="宋体" w:cs="宋体" w:hint="eastAsia"/>
          <w:sz w:val="24"/>
        </w:rPr>
        <w:t>代理机构邮箱（987981603@qq.com）发送付款二维码，支付完成后供应商在中国邮政集团电子采购平台上传付费凭证后等待代理机构审核。</w:t>
      </w:r>
    </w:p>
    <w:p w14:paraId="5C85080B">
      <w:pPr>
        <w:widowControl/>
        <w:autoSpaceDE w:val="0"/>
        <w:autoSpaceDN w:val="0"/>
        <w:spacing w:before="50" w:line="240" w:lineRule="atLeast"/>
        <w:ind w:left="0" w:right="284" w:firstLine="480" w:firstLineChars="200"/>
        <w:textAlignment w:val="bottom"/>
        <w:rPr>
          <w:rFonts w:ascii="宋体" w:eastAsia="宋体" w:hAnsi="宋体" w:cs="宋体" w:hint="eastAsia"/>
          <w:sz w:val="24"/>
        </w:rPr>
      </w:pPr>
      <w:r>
        <w:rPr>
          <w:rFonts w:ascii="宋体" w:eastAsia="宋体" w:hAnsi="宋体" w:cs="宋体" w:hint="eastAsia"/>
          <w:sz w:val="24"/>
        </w:rPr>
        <w:t>注：提交审核后供应商无需电话联系，代理机构将在当日固定时间审核。（不受理网站注册与操作问题）。</w:t>
      </w:r>
    </w:p>
    <w:p w14:paraId="328D0AA4">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eastAsia="zh-CN"/>
        </w:rPr>
        <w:t>.</w:t>
      </w:r>
      <w:r>
        <w:rPr>
          <w:rFonts w:ascii="宋体" w:eastAsia="宋体" w:hAnsi="宋体" w:cs="宋体" w:hint="eastAsia"/>
          <w:sz w:val="24"/>
        </w:rPr>
        <w:t>第三步，待第二步审核通过后，供应商在中国邮政集团电子采购平台获取采购文件。获取文件流程：进入平台—注册并办理CA—（审批通过）—选择参加磋商的项目—购买竞争性磋商文件—填写并上传订单信息（支付凭证）—（审批通过）—下载竞争性磋商文件（具体参照平台页面右下角“供应商操作指南”）。供应商须在“中国邮政电子采购与供应平台”（网址：https://cg.11185.cn）完成“下载竞争性磋商文件”的操作，否则可能导致后续无法在电子采购平台递交响应文件。</w:t>
      </w:r>
    </w:p>
    <w:p w14:paraId="1482C9F1">
      <w:pPr>
        <w:keepNext/>
        <w:widowControl/>
        <w:numPr>
          <w:ilvl w:val="0"/>
          <w:numId w:val="0"/>
        </w:numPr>
        <w:tabs>
          <w:tab w:val="left" w:pos="540"/>
        </w:tabs>
        <w:autoSpaceDE w:val="0"/>
        <w:autoSpaceDN w:val="0"/>
        <w:spacing w:before="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六、</w:t>
      </w:r>
      <w:r>
        <w:rPr>
          <w:rFonts w:ascii="宋体" w:eastAsia="宋体" w:hAnsi="宋体" w:cs="宋体" w:hint="eastAsia"/>
          <w:b/>
          <w:sz w:val="24"/>
        </w:rPr>
        <w:t>响应文件的递交：</w:t>
      </w:r>
    </w:p>
    <w:p w14:paraId="45DB5250">
      <w:pPr>
        <w:pStyle w:val="BodyTextFirstIndent2"/>
        <w:spacing w:before="50" w:after="0" w:line="240" w:lineRule="atLeast"/>
        <w:ind w:left="0" w:firstLine="480" w:leftChars="0"/>
        <w:rPr>
          <w:rFonts w:ascii="宋体" w:eastAsia="宋体" w:hAnsi="宋体" w:cs="宋体" w:hint="eastAsia"/>
          <w:sz w:val="24"/>
        </w:rPr>
      </w:pPr>
      <w:r>
        <w:rPr>
          <w:rFonts w:ascii="宋体" w:eastAsia="宋体" w:hAnsi="宋体" w:cs="宋体" w:hint="eastAsia"/>
          <w:sz w:val="24"/>
          <w:lang w:val="en-US" w:eastAsia="zh-CN"/>
        </w:rPr>
        <w:t>1.</w:t>
      </w:r>
      <w:r>
        <w:rPr>
          <w:rFonts w:ascii="宋体" w:eastAsia="宋体" w:hAnsi="宋体" w:cs="宋体" w:hint="eastAsia"/>
          <w:b/>
          <w:sz w:val="24"/>
        </w:rPr>
        <w:t>递交平台、递交时间及签到：线上电子版与纸质版磋商响应文件递交的截止时间均为202</w:t>
      </w:r>
      <w:r>
        <w:rPr>
          <w:rFonts w:ascii="宋体" w:eastAsia="宋体" w:hAnsi="宋体" w:cs="宋体" w:hint="eastAsia"/>
          <w:b/>
          <w:sz w:val="24"/>
          <w:lang w:val="en-US" w:eastAsia="zh-CN"/>
        </w:rPr>
        <w:t>5</w:t>
      </w:r>
      <w:r>
        <w:rPr>
          <w:rFonts w:ascii="宋体" w:eastAsia="宋体" w:hAnsi="宋体" w:cs="宋体" w:hint="eastAsia"/>
          <w:b/>
          <w:sz w:val="24"/>
        </w:rPr>
        <w:t>年</w:t>
      </w:r>
      <w:r>
        <w:rPr>
          <w:rFonts w:ascii="宋体" w:eastAsia="宋体" w:hAnsi="宋体" w:cs="宋体" w:hint="eastAsia"/>
          <w:b/>
          <w:sz w:val="24"/>
          <w:lang w:val="en-US" w:eastAsia="zh-CN"/>
        </w:rPr>
        <w:t>06</w:t>
      </w:r>
      <w:r>
        <w:rPr>
          <w:rFonts w:ascii="宋体" w:eastAsia="宋体" w:hAnsi="宋体" w:cs="宋体" w:hint="eastAsia"/>
          <w:b/>
          <w:sz w:val="24"/>
        </w:rPr>
        <w:t>月</w:t>
      </w:r>
      <w:r>
        <w:rPr>
          <w:rFonts w:ascii="宋体" w:eastAsia="宋体" w:hAnsi="宋体" w:cs="宋体" w:hint="eastAsia"/>
          <w:b/>
          <w:sz w:val="24"/>
          <w:lang w:val="en-US" w:eastAsia="zh-CN"/>
        </w:rPr>
        <w:t>19</w:t>
      </w:r>
      <w:r>
        <w:rPr>
          <w:rFonts w:ascii="宋体" w:eastAsia="宋体" w:hAnsi="宋体" w:cs="宋体" w:hint="eastAsia"/>
          <w:b/>
          <w:sz w:val="24"/>
        </w:rPr>
        <w:t>日</w:t>
      </w:r>
      <w:r>
        <w:rPr>
          <w:rFonts w:ascii="宋体" w:eastAsia="宋体" w:hAnsi="宋体" w:cs="宋体" w:hint="eastAsia"/>
          <w:b/>
          <w:sz w:val="24"/>
          <w:lang w:val="en-US" w:eastAsia="zh-CN"/>
        </w:rPr>
        <w:t>上</w:t>
      </w:r>
      <w:r>
        <w:rPr>
          <w:rFonts w:ascii="宋体" w:eastAsia="宋体" w:hAnsi="宋体" w:cs="宋体" w:hint="eastAsia"/>
          <w:b/>
          <w:sz w:val="24"/>
        </w:rPr>
        <w:t>午1</w:t>
      </w:r>
      <w:r>
        <w:rPr>
          <w:rFonts w:ascii="宋体" w:eastAsia="宋体" w:hAnsi="宋体" w:cs="宋体" w:hint="eastAsia"/>
          <w:b/>
          <w:sz w:val="24"/>
          <w:lang w:val="en-US" w:eastAsia="zh-CN"/>
        </w:rPr>
        <w:t>0</w:t>
      </w:r>
      <w:r>
        <w:rPr>
          <w:rFonts w:ascii="宋体" w:eastAsia="宋体" w:hAnsi="宋体" w:cs="宋体" w:hint="eastAsia"/>
          <w:b/>
          <w:sz w:val="24"/>
        </w:rPr>
        <w:t>:</w:t>
      </w:r>
      <w:r>
        <w:rPr>
          <w:rFonts w:ascii="宋体" w:eastAsia="宋体" w:hAnsi="宋体" w:cs="宋体"/>
          <w:b/>
          <w:sz w:val="24"/>
        </w:rPr>
        <w:t>0</w:t>
      </w:r>
      <w:r>
        <w:rPr>
          <w:rFonts w:ascii="宋体" w:eastAsia="宋体" w:hAnsi="宋体" w:cs="宋体" w:hint="eastAsia"/>
          <w:b/>
          <w:sz w:val="24"/>
        </w:rPr>
        <w:t>0（北京时间），</w:t>
      </w:r>
      <w:r>
        <w:rPr>
          <w:rFonts w:ascii="宋体" w:eastAsia="宋体" w:hAnsi="宋体" w:cs="宋体" w:hint="eastAsia"/>
          <w:sz w:val="24"/>
        </w:rPr>
        <w:t>供应商应在截止时间前通过“中国邮政电子采购与供应平台”（网址：https://cg.11185.cn）递交加密的线上电子版磋商响应文件，并在开标前（同响应文件递交截止时间）完成线下和线上的“签到”流程。供应商须自行准备签到、解密所需CA、电脑等必备设备。</w:t>
      </w:r>
    </w:p>
    <w:p w14:paraId="426C8E45">
      <w:pPr>
        <w:pStyle w:val="BodyTextFirstIndent2"/>
        <w:spacing w:before="50" w:after="0" w:line="240" w:lineRule="atLeast"/>
        <w:ind w:left="0" w:right="284" w:firstLine="480" w:leftChars="0"/>
        <w:rPr>
          <w:rFonts w:ascii="宋体" w:eastAsia="宋体" w:hAnsi="宋体" w:cs="宋体" w:hint="eastAsia"/>
          <w:sz w:val="24"/>
        </w:rPr>
      </w:pPr>
      <w:r>
        <w:rPr>
          <w:rFonts w:ascii="宋体" w:eastAsia="宋体" w:hAnsi="宋体" w:cs="宋体" w:hint="eastAsia"/>
          <w:bCs/>
          <w:kern w:val="0"/>
          <w:sz w:val="24"/>
          <w:lang w:val="en-US" w:eastAsia="zh-CN"/>
        </w:rPr>
        <w:t>2.</w:t>
      </w:r>
      <w:r>
        <w:rPr>
          <w:rFonts w:ascii="宋体" w:eastAsia="宋体" w:hAnsi="宋体" w:cs="宋体" w:hint="eastAsia"/>
          <w:bCs/>
          <w:kern w:val="0"/>
          <w:sz w:val="24"/>
        </w:rPr>
        <w:t>递交及解密地点：成都市高新区吉泰五路88号花样年香年广场T3三楼。供应商须派代表当面递交纸质版响应文件，并且通过制作线上电子版响应文件的电脑解密线上电子版响应文件，保证网络畅通、运行环境良好、介质完好等。</w:t>
      </w:r>
      <w:r>
        <w:rPr>
          <w:rFonts w:ascii="宋体" w:eastAsia="宋体" w:hAnsi="宋体" w:cs="宋体" w:hint="eastAsia"/>
          <w:sz w:val="24"/>
        </w:rPr>
        <w:t>逾期递交的纸质版和线上电子版响应文件以及不符合规定的纸质版和线上电子版响应文件将被拒绝。</w:t>
      </w:r>
    </w:p>
    <w:p w14:paraId="7E5923AB">
      <w:pPr>
        <w:pStyle w:val="BodyTextFirstIndent2"/>
        <w:spacing w:before="50" w:after="0" w:line="240" w:lineRule="atLeast"/>
        <w:ind w:left="0" w:right="284" w:firstLine="480" w:leftChars="0"/>
        <w:rPr>
          <w:rFonts w:ascii="宋体" w:eastAsia="宋体" w:hAnsi="宋体" w:cs="宋体" w:hint="eastAsia"/>
          <w:bCs/>
          <w:kern w:val="0"/>
          <w:sz w:val="24"/>
        </w:rPr>
      </w:pPr>
      <w:r>
        <w:rPr>
          <w:rFonts w:ascii="宋体" w:eastAsia="宋体" w:hAnsi="宋体" w:cs="宋体" w:hint="eastAsia"/>
          <w:sz w:val="24"/>
          <w:lang w:val="en-US" w:eastAsia="zh-CN"/>
        </w:rPr>
        <w:t>3.</w:t>
      </w:r>
      <w:r>
        <w:rPr>
          <w:rFonts w:ascii="宋体" w:eastAsia="宋体" w:hAnsi="宋体" w:cs="宋体" w:hint="eastAsia"/>
          <w:sz w:val="24"/>
        </w:rPr>
        <w:t>线上电子版响应文件加密、解密</w:t>
      </w:r>
      <w:r>
        <w:rPr>
          <w:rFonts w:ascii="宋体" w:eastAsia="宋体" w:hAnsi="宋体" w:cs="宋体" w:hint="eastAsia"/>
          <w:bCs/>
          <w:kern w:val="0"/>
          <w:sz w:val="24"/>
        </w:rPr>
        <w:t>：供应商须在开标前对“中国邮政电子采购与供应平台”（网址：https://cg.11185.cn）递交的线上电子版响应文件进行加密。供应商须在平台下载《中国邮政投标管家》工具结合CA证书，进行线上电子版响应文件的编制，并在开标前进行加密后上传至平台。开标时，（以现场要求为准）</w:t>
      </w:r>
      <w:r>
        <w:rPr>
          <w:rFonts w:ascii="宋体" w:eastAsia="宋体" w:hAnsi="宋体" w:cs="宋体" w:hint="eastAsia"/>
          <w:sz w:val="24"/>
        </w:rPr>
        <w:t>尽快使用CA证书完成线上电子版响应文件的解密</w:t>
      </w:r>
      <w:r>
        <w:rPr>
          <w:rFonts w:ascii="宋体" w:eastAsia="宋体" w:hAnsi="宋体" w:cs="宋体" w:hint="eastAsia"/>
          <w:bCs/>
          <w:kern w:val="0"/>
          <w:sz w:val="24"/>
        </w:rPr>
        <w:t>。</w:t>
      </w:r>
    </w:p>
    <w:p w14:paraId="1E4770F1">
      <w:pPr>
        <w:pStyle w:val="BodyTextFirstIndent2"/>
        <w:spacing w:before="50" w:after="0" w:line="240" w:lineRule="atLeast"/>
        <w:ind w:left="0" w:right="284" w:firstLine="480" w:leftChars="0"/>
        <w:rPr>
          <w:rFonts w:ascii="宋体" w:eastAsia="宋体" w:hAnsi="宋体" w:cs="宋体" w:hint="eastAsia"/>
          <w:sz w:val="24"/>
        </w:rPr>
      </w:pPr>
      <w:r>
        <w:rPr>
          <w:rFonts w:ascii="宋体" w:eastAsia="宋体" w:hAnsi="宋体" w:cs="宋体" w:hint="eastAsia"/>
          <w:sz w:val="24"/>
          <w:lang w:val="en-US" w:eastAsia="zh-CN"/>
        </w:rPr>
        <w:t>4.</w:t>
      </w:r>
      <w:r>
        <w:rPr>
          <w:rFonts w:ascii="宋体" w:eastAsia="宋体" w:hAnsi="宋体" w:cs="宋体" w:hint="eastAsia"/>
          <w:sz w:val="24"/>
        </w:rPr>
        <w:t>电子版响应文件与纸质版响应文件内容和报价必须相同。竞争性磋商文件中要求的盖章、签字，在制作线上电子版响应文件时可以是有效的电子签章、电子签名，也可以是加盖公章、签字的纸质版扫描件。（电子签章后，文档不应再修改，否则电子签章、签字无效；如需修改，请修改后重新电子签章、签字）。</w:t>
      </w:r>
    </w:p>
    <w:p w14:paraId="77A0E9F7">
      <w:pPr>
        <w:pStyle w:val="BodyTextFirstIndent2"/>
        <w:spacing w:before="50" w:after="0" w:line="240" w:lineRule="atLeast"/>
        <w:ind w:left="284" w:right="284" w:firstLine="240" w:leftChars="0" w:firstLineChars="100"/>
        <w:rPr>
          <w:rFonts w:ascii="宋体" w:eastAsia="宋体" w:hAnsi="宋体" w:cs="宋体" w:hint="eastAsia"/>
          <w:bCs/>
          <w:kern w:val="0"/>
          <w:sz w:val="24"/>
        </w:rPr>
      </w:pPr>
      <w:r>
        <w:rPr>
          <w:rFonts w:ascii="宋体" w:eastAsia="宋体" w:hAnsi="宋体" w:cs="宋体" w:hint="eastAsia"/>
          <w:bCs/>
          <w:kern w:val="0"/>
          <w:sz w:val="24"/>
        </w:rPr>
        <w:t>注：</w:t>
      </w:r>
    </w:p>
    <w:p w14:paraId="0212C0A1">
      <w:pPr>
        <w:pStyle w:val="BodyTextFirstIndent2"/>
        <w:numPr>
          <w:ilvl w:val="0"/>
          <w:numId w:val="1"/>
        </w:numPr>
        <w:spacing w:before="50" w:after="0" w:line="240" w:lineRule="atLeast"/>
        <w:ind w:right="284" w:firstLine="480" w:leftChars="0"/>
        <w:rPr>
          <w:rFonts w:ascii="宋体" w:eastAsia="宋体" w:hAnsi="宋体" w:cs="宋体" w:hint="eastAsia"/>
          <w:bCs/>
          <w:kern w:val="0"/>
          <w:sz w:val="24"/>
        </w:rPr>
      </w:pPr>
      <w:r>
        <w:rPr>
          <w:rFonts w:ascii="宋体" w:eastAsia="宋体" w:hAnsi="宋体" w:cs="宋体" w:hint="eastAsia"/>
          <w:bCs/>
          <w:kern w:val="0"/>
          <w:sz w:val="24"/>
        </w:rPr>
        <w:t>线上电子版响应文件指：按竞争性磋商文件要求通过《中国邮政投标管家》工具编制、加密、上传至“中国邮政电子采购与供应平台”（网址：https://cg.11185.cn）的电子版响应文件。</w:t>
      </w:r>
    </w:p>
    <w:p w14:paraId="477A6E5E">
      <w:pPr>
        <w:pStyle w:val="BodyTextFirstIndent2"/>
        <w:numPr>
          <w:ilvl w:val="0"/>
          <w:numId w:val="1"/>
        </w:numPr>
        <w:spacing w:before="50" w:after="0" w:line="240" w:lineRule="atLeast"/>
        <w:ind w:right="284" w:firstLine="480" w:leftChars="0"/>
        <w:rPr>
          <w:rFonts w:ascii="宋体" w:eastAsia="宋体" w:hAnsi="宋体" w:cs="宋体" w:hint="eastAsia"/>
          <w:bCs/>
          <w:kern w:val="0"/>
          <w:sz w:val="24"/>
        </w:rPr>
      </w:pPr>
      <w:r>
        <w:rPr>
          <w:rFonts w:ascii="宋体" w:eastAsia="宋体" w:hAnsi="宋体" w:cs="宋体" w:hint="eastAsia"/>
          <w:bCs/>
          <w:kern w:val="0"/>
          <w:sz w:val="24"/>
        </w:rPr>
        <w:t>纸质版响应文件指：按竞争性磋商文件要求制作的纸质打印版响应文件。</w:t>
      </w:r>
    </w:p>
    <w:p w14:paraId="2827599B">
      <w:pPr>
        <w:widowControl/>
        <w:numPr>
          <w:ilvl w:val="0"/>
          <w:numId w:val="1"/>
        </w:numPr>
        <w:autoSpaceDE w:val="0"/>
        <w:autoSpaceDN w:val="0"/>
        <w:spacing w:before="50" w:line="240" w:lineRule="atLeast"/>
        <w:ind w:right="284" w:firstLine="480" w:firstLineChars="200"/>
        <w:textAlignment w:val="bottom"/>
        <w:rPr>
          <w:rFonts w:ascii="宋体" w:eastAsia="宋体" w:hAnsi="宋体" w:cs="宋体" w:hint="eastAsia"/>
          <w:sz w:val="24"/>
        </w:rPr>
      </w:pPr>
      <w:r>
        <w:rPr>
          <w:rFonts w:ascii="宋体" w:eastAsia="宋体" w:hAnsi="宋体" w:cs="宋体" w:hint="eastAsia"/>
          <w:sz w:val="24"/>
        </w:rPr>
        <w:t>供应商须派代表当面递交纸质版响应文件。采购人不接受以邮寄、传真、电子邮件等方式递交的响应文件。逾期或不符合规定的响应文件恕不接受。</w:t>
      </w:r>
    </w:p>
    <w:p w14:paraId="47580A88">
      <w:pPr>
        <w:widowControl/>
        <w:numPr>
          <w:ilvl w:val="0"/>
          <w:numId w:val="1"/>
        </w:numPr>
        <w:autoSpaceDE w:val="0"/>
        <w:autoSpaceDN w:val="0"/>
        <w:spacing w:before="50" w:line="240" w:lineRule="atLeast"/>
        <w:ind w:right="284" w:firstLine="480" w:firstLineChars="200"/>
        <w:textAlignment w:val="bottom"/>
        <w:rPr>
          <w:rFonts w:ascii="宋体" w:eastAsia="宋体" w:hAnsi="宋体" w:cs="宋体"/>
          <w:b/>
          <w:sz w:val="24"/>
        </w:rPr>
      </w:pPr>
      <w:r>
        <w:rPr>
          <w:rFonts w:ascii="宋体" w:eastAsia="宋体" w:hAnsi="宋体" w:cs="宋体" w:hint="eastAsia"/>
          <w:b/>
          <w:sz w:val="24"/>
        </w:rPr>
        <w:t>响应文件须以两种方式均按时递交完成方可生效，仅在线上或者线下单边递交响应文件视为无效响应。</w:t>
      </w:r>
    </w:p>
    <w:p w14:paraId="1E12A315">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b/>
          <w:sz w:val="24"/>
        </w:rPr>
      </w:pPr>
      <w:r>
        <w:rPr>
          <w:rFonts w:ascii="宋体" w:eastAsia="宋体" w:hAnsi="宋体" w:cs="宋体" w:hint="eastAsia"/>
          <w:b/>
          <w:sz w:val="24"/>
          <w:lang w:val="en-US" w:eastAsia="zh-CN"/>
        </w:rPr>
        <w:t>七、</w:t>
      </w:r>
      <w:r>
        <w:rPr>
          <w:rFonts w:ascii="宋体" w:eastAsia="宋体" w:hAnsi="宋体" w:cs="宋体" w:hint="eastAsia"/>
          <w:b/>
          <w:sz w:val="24"/>
        </w:rPr>
        <w:t>开标：</w:t>
      </w:r>
    </w:p>
    <w:p w14:paraId="497D373D">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sz w:val="24"/>
        </w:rPr>
      </w:pPr>
      <w:r>
        <w:rPr>
          <w:rFonts w:ascii="宋体" w:eastAsia="宋体" w:hAnsi="宋体" w:cs="宋体" w:hint="eastAsia"/>
          <w:sz w:val="24"/>
          <w:lang w:val="en-US" w:eastAsia="zh-CN"/>
        </w:rPr>
        <w:t>1.</w:t>
      </w:r>
      <w:r>
        <w:rPr>
          <w:rFonts w:ascii="宋体" w:eastAsia="宋体" w:hAnsi="宋体" w:cs="宋体" w:hint="eastAsia"/>
          <w:sz w:val="24"/>
        </w:rPr>
        <w:t>开标形式：本项目采用在“中国邮政电子采购与供应平台”（网址：https://cg.11185.cn）线上解密开标。</w:t>
      </w:r>
    </w:p>
    <w:p w14:paraId="5E853D5D">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sz w:val="24"/>
          <w:lang w:val="en-US" w:eastAsia="zh-CN"/>
        </w:rPr>
      </w:pPr>
      <w:r>
        <w:rPr>
          <w:rFonts w:ascii="宋体" w:eastAsia="宋体" w:hAnsi="宋体" w:cs="宋体" w:hint="eastAsia"/>
          <w:sz w:val="24"/>
          <w:lang w:val="en-US" w:eastAsia="zh-CN"/>
        </w:rPr>
        <w:t>2.开标时间：</w:t>
      </w:r>
      <w:r>
        <w:rPr>
          <w:rFonts w:ascii="宋体" w:eastAsia="宋体" w:hAnsi="宋体" w:cs="宋体" w:hint="eastAsia"/>
          <w:b/>
          <w:sz w:val="24"/>
        </w:rPr>
        <w:t>202</w:t>
      </w:r>
      <w:r>
        <w:rPr>
          <w:rFonts w:ascii="宋体" w:eastAsia="宋体" w:hAnsi="宋体" w:cs="宋体" w:hint="eastAsia"/>
          <w:b/>
          <w:sz w:val="24"/>
          <w:lang w:val="en-US" w:eastAsia="zh-CN"/>
        </w:rPr>
        <w:t>5</w:t>
      </w:r>
      <w:r>
        <w:rPr>
          <w:rFonts w:ascii="宋体" w:eastAsia="宋体" w:hAnsi="宋体" w:cs="宋体" w:hint="eastAsia"/>
          <w:b/>
          <w:sz w:val="24"/>
        </w:rPr>
        <w:t>年</w:t>
      </w:r>
      <w:r>
        <w:rPr>
          <w:rFonts w:ascii="宋体" w:eastAsia="宋体" w:hAnsi="宋体" w:cs="宋体" w:hint="eastAsia"/>
          <w:b/>
          <w:sz w:val="24"/>
          <w:lang w:val="en-US" w:eastAsia="zh-CN"/>
        </w:rPr>
        <w:t>06</w:t>
      </w:r>
      <w:r>
        <w:rPr>
          <w:rFonts w:ascii="宋体" w:eastAsia="宋体" w:hAnsi="宋体" w:cs="宋体" w:hint="eastAsia"/>
          <w:b/>
          <w:sz w:val="24"/>
        </w:rPr>
        <w:t>月</w:t>
      </w:r>
      <w:r>
        <w:rPr>
          <w:rFonts w:ascii="宋体" w:eastAsia="宋体" w:hAnsi="宋体" w:cs="宋体" w:hint="eastAsia"/>
          <w:b/>
          <w:sz w:val="24"/>
          <w:lang w:val="en-US" w:eastAsia="zh-CN"/>
        </w:rPr>
        <w:t>19</w:t>
      </w:r>
      <w:r>
        <w:rPr>
          <w:rFonts w:ascii="宋体" w:eastAsia="宋体" w:hAnsi="宋体" w:cs="宋体" w:hint="eastAsia"/>
          <w:b/>
          <w:sz w:val="24"/>
        </w:rPr>
        <w:t>日</w:t>
      </w:r>
      <w:r>
        <w:rPr>
          <w:rFonts w:ascii="宋体" w:eastAsia="宋体" w:hAnsi="宋体" w:cs="宋体" w:hint="eastAsia"/>
          <w:b/>
          <w:sz w:val="24"/>
          <w:lang w:val="en-US" w:eastAsia="zh-CN"/>
        </w:rPr>
        <w:t>上</w:t>
      </w:r>
      <w:r>
        <w:rPr>
          <w:rFonts w:ascii="宋体" w:eastAsia="宋体" w:hAnsi="宋体" w:cs="宋体" w:hint="eastAsia"/>
          <w:b/>
          <w:sz w:val="24"/>
        </w:rPr>
        <w:t>午1</w:t>
      </w:r>
      <w:r>
        <w:rPr>
          <w:rFonts w:ascii="宋体" w:eastAsia="宋体" w:hAnsi="宋体" w:cs="宋体" w:hint="eastAsia"/>
          <w:b/>
          <w:sz w:val="24"/>
          <w:lang w:val="en-US" w:eastAsia="zh-CN"/>
        </w:rPr>
        <w:t>0</w:t>
      </w:r>
      <w:r>
        <w:rPr>
          <w:rFonts w:ascii="宋体" w:eastAsia="宋体" w:hAnsi="宋体" w:cs="宋体" w:hint="eastAsia"/>
          <w:b/>
          <w:sz w:val="24"/>
        </w:rPr>
        <w:t>:</w:t>
      </w:r>
      <w:r>
        <w:rPr>
          <w:rFonts w:ascii="宋体" w:eastAsia="宋体" w:hAnsi="宋体" w:cs="宋体"/>
          <w:b/>
          <w:sz w:val="24"/>
        </w:rPr>
        <w:t>0</w:t>
      </w:r>
      <w:r>
        <w:rPr>
          <w:rFonts w:ascii="宋体" w:eastAsia="宋体" w:hAnsi="宋体" w:cs="宋体" w:hint="eastAsia"/>
          <w:b/>
          <w:sz w:val="24"/>
        </w:rPr>
        <w:t>0（北京时间）</w:t>
      </w:r>
      <w:r>
        <w:rPr>
          <w:rFonts w:ascii="宋体" w:eastAsia="宋体" w:hAnsi="宋体" w:cs="宋体" w:hint="eastAsia"/>
          <w:b/>
          <w:sz w:val="24"/>
          <w:lang w:eastAsia="zh-CN"/>
        </w:rPr>
        <w:t>。</w:t>
      </w:r>
    </w:p>
    <w:p w14:paraId="01DAA747">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sz w:val="24"/>
        </w:rPr>
      </w:pPr>
      <w:r>
        <w:rPr>
          <w:rFonts w:ascii="宋体" w:eastAsia="宋体" w:hAnsi="宋体" w:cs="宋体" w:hint="eastAsia"/>
          <w:sz w:val="24"/>
          <w:lang w:val="en-US" w:eastAsia="zh-CN"/>
        </w:rPr>
        <w:t>3.</w:t>
      </w:r>
      <w:r>
        <w:rPr>
          <w:rFonts w:ascii="宋体" w:eastAsia="宋体" w:hAnsi="宋体" w:cs="宋体" w:hint="eastAsia"/>
          <w:sz w:val="24"/>
        </w:rPr>
        <w:t>解密时间：线上电子版磋商响应文件现场解密截止时间开标现场通知解密时间起20分钟（以开标现场要求为准）内。供应商须自行考虑并承担所使用互联网网络及运行环境不畅、介</w:t>
      </w:r>
      <w:bookmarkStart w:id="0" w:name="_GoBack"/>
      <w:bookmarkEnd w:id="0"/>
      <w:r>
        <w:rPr>
          <w:rFonts w:ascii="宋体" w:eastAsia="宋体" w:hAnsi="宋体" w:cs="宋体" w:hint="eastAsia"/>
          <w:sz w:val="24"/>
        </w:rPr>
        <w:t>质损坏、电脑故障等因素造成的风险。</w:t>
      </w:r>
    </w:p>
    <w:p w14:paraId="30AC8D26">
      <w:pPr>
        <w:widowControl/>
        <w:autoSpaceDE w:val="0"/>
        <w:autoSpaceDN w:val="0"/>
        <w:spacing w:before="156" w:beforeLines="50" w:after="50" w:line="240" w:lineRule="atLeast"/>
        <w:ind w:firstLine="480" w:firstLineChars="200"/>
        <w:textAlignment w:val="bottom"/>
        <w:rPr>
          <w:rFonts w:ascii="宋体" w:eastAsia="宋体" w:hAnsi="宋体" w:cs="宋体" w:hint="eastAsia"/>
          <w:b/>
          <w:sz w:val="24"/>
        </w:rPr>
      </w:pPr>
      <w:r>
        <w:rPr>
          <w:rFonts w:ascii="宋体" w:eastAsia="宋体" w:hAnsi="宋体" w:cs="宋体" w:hint="eastAsia"/>
          <w:sz w:val="24"/>
          <w:lang w:val="en-US" w:eastAsia="zh-CN"/>
        </w:rPr>
        <w:t>4.</w:t>
      </w:r>
      <w:r>
        <w:rPr>
          <w:rFonts w:ascii="宋体" w:eastAsia="宋体" w:hAnsi="宋体" w:cs="宋体" w:hint="eastAsia"/>
          <w:sz w:val="24"/>
        </w:rPr>
        <w:t>响应文件递交及开标地点：成都市高新区吉泰五路88号花样年香年广场T3三楼。</w:t>
      </w:r>
    </w:p>
    <w:p w14:paraId="7362FAD5">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八、</w:t>
      </w:r>
      <w:r>
        <w:rPr>
          <w:rFonts w:ascii="宋体" w:eastAsia="宋体" w:hAnsi="宋体" w:cs="宋体" w:hint="eastAsia"/>
          <w:b/>
          <w:sz w:val="24"/>
        </w:rPr>
        <w:t xml:space="preserve">发布公告的媒体： </w:t>
      </w:r>
    </w:p>
    <w:p w14:paraId="40569EBA">
      <w:pPr>
        <w:widowControl/>
        <w:tabs>
          <w:tab w:val="left" w:pos="540"/>
        </w:tabs>
        <w:autoSpaceDE w:val="0"/>
        <w:autoSpaceDN w:val="0"/>
        <w:spacing w:before="156" w:beforeLines="50" w:line="240" w:lineRule="atLeast"/>
        <w:ind w:right="-20" w:firstLine="480" w:firstLineChars="200"/>
        <w:textAlignment w:val="bottom"/>
        <w:rPr>
          <w:rFonts w:ascii="宋体" w:eastAsia="宋体" w:hAnsi="宋体" w:cs="宋体" w:hint="eastAsia"/>
          <w:sz w:val="24"/>
        </w:rPr>
      </w:pPr>
      <w:r>
        <w:rPr>
          <w:rFonts w:ascii="宋体" w:eastAsia="宋体" w:hAnsi="宋体" w:cs="宋体" w:hint="eastAsia"/>
          <w:sz w:val="24"/>
        </w:rPr>
        <w:t>本次竞争性磋商公告将同时在中国邮政官方网站（www.chinapost.com.cn）、中国采购与招标网(www.chinabidding.com.cn)、中国招标投标公共服务平台（www.cebpubservice.com）、中国邮政集团电子采购平台(https://cg.11185.cn)发布。</w:t>
      </w:r>
    </w:p>
    <w:p w14:paraId="59013DFC">
      <w:pPr>
        <w:widowControl/>
        <w:numPr>
          <w:ilvl w:val="0"/>
          <w:numId w:val="0"/>
        </w:numPr>
        <w:tabs>
          <w:tab w:val="left" w:pos="540"/>
        </w:tabs>
        <w:autoSpaceDE w:val="0"/>
        <w:autoSpaceDN w:val="0"/>
        <w:spacing w:before="156" w:beforeLines="50" w:line="240" w:lineRule="atLeast"/>
        <w:ind w:left="0" w:right="248"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九、</w:t>
      </w:r>
      <w:r>
        <w:rPr>
          <w:rFonts w:ascii="宋体" w:eastAsia="宋体" w:hAnsi="宋体" w:cs="宋体" w:hint="eastAsia"/>
          <w:b/>
          <w:sz w:val="24"/>
        </w:rPr>
        <w:t>合同主体说明</w:t>
      </w:r>
    </w:p>
    <w:p w14:paraId="3FBB7690">
      <w:pPr>
        <w:tabs>
          <w:tab w:val="left" w:pos="540"/>
        </w:tabs>
        <w:autoSpaceDE w:val="0"/>
        <w:autoSpaceDN w:val="0"/>
        <w:spacing w:before="156" w:beforeLines="50" w:line="240" w:lineRule="atLeast"/>
        <w:ind w:right="249" w:firstLine="480" w:firstLineChars="200"/>
        <w:textAlignment w:val="bottom"/>
        <w:rPr>
          <w:rFonts w:ascii="宋体" w:eastAsia="宋体" w:hAnsi="宋体" w:cs="宋体" w:hint="eastAsia"/>
          <w:bCs/>
          <w:sz w:val="24"/>
        </w:rPr>
      </w:pPr>
      <w:r>
        <w:rPr>
          <w:rFonts w:ascii="宋体" w:eastAsia="宋体" w:hAnsi="宋体" w:cs="宋体" w:hint="eastAsia"/>
          <w:bCs/>
          <w:sz w:val="24"/>
        </w:rPr>
        <w:t>本次项目</w:t>
      </w:r>
      <w:r>
        <w:rPr>
          <w:rFonts w:ascii="宋体" w:eastAsia="宋体" w:hAnsi="宋体" w:cs="宋体" w:hint="eastAsia"/>
          <w:bCs/>
          <w:sz w:val="24"/>
          <w:lang w:val="en-US" w:eastAsia="zh-CN"/>
        </w:rPr>
        <w:t>采购</w:t>
      </w:r>
      <w:r>
        <w:rPr>
          <w:rFonts w:ascii="宋体" w:eastAsia="宋体" w:hAnsi="宋体" w:cs="宋体" w:hint="eastAsia"/>
          <w:bCs/>
          <w:sz w:val="24"/>
        </w:rPr>
        <w:t>主体为</w:t>
      </w:r>
      <w:r>
        <w:rPr>
          <w:rFonts w:ascii="宋体" w:eastAsia="宋体" w:hAnsi="宋体" w:cs="宋体" w:hint="eastAsia"/>
          <w:bCs/>
          <w:sz w:val="24"/>
          <w:lang w:val="en-US" w:eastAsia="zh-CN"/>
        </w:rPr>
        <w:t>中国邮政集团有限公司四川</w:t>
      </w:r>
      <w:r>
        <w:rPr>
          <w:rFonts w:ascii="宋体" w:eastAsia="宋体" w:hAnsi="宋体" w:cs="宋体" w:hint="eastAsia"/>
          <w:bCs/>
          <w:sz w:val="24"/>
        </w:rPr>
        <w:t>省分公司，在</w:t>
      </w:r>
      <w:r>
        <w:rPr>
          <w:rFonts w:ascii="宋体" w:eastAsia="宋体" w:hAnsi="宋体" w:cs="宋体" w:hint="eastAsia"/>
          <w:bCs/>
          <w:sz w:val="24"/>
          <w:lang w:val="en-US" w:eastAsia="zh-CN"/>
        </w:rPr>
        <w:t>成交</w:t>
      </w:r>
      <w:r>
        <w:rPr>
          <w:rFonts w:ascii="宋体" w:eastAsia="宋体" w:hAnsi="宋体" w:cs="宋体" w:hint="eastAsia"/>
          <w:bCs/>
          <w:sz w:val="24"/>
        </w:rPr>
        <w:t>通知书发出后</w:t>
      </w:r>
      <w:r>
        <w:rPr>
          <w:rFonts w:ascii="宋体" w:eastAsia="宋体" w:hAnsi="宋体" w:cs="宋体" w:hint="eastAsia"/>
          <w:bCs/>
          <w:sz w:val="24"/>
          <w:lang w:val="en-US" w:eastAsia="zh-CN"/>
        </w:rPr>
        <w:t>30天</w:t>
      </w:r>
      <w:r>
        <w:rPr>
          <w:rFonts w:ascii="宋体" w:eastAsia="宋体" w:hAnsi="宋体" w:cs="宋体" w:hint="eastAsia"/>
          <w:bCs/>
          <w:sz w:val="24"/>
        </w:rPr>
        <w:t>内，</w:t>
      </w:r>
      <w:r>
        <w:rPr>
          <w:rFonts w:ascii="宋体" w:eastAsia="宋体" w:hAnsi="宋体" w:cs="宋体" w:hint="eastAsia"/>
          <w:bCs/>
          <w:sz w:val="24"/>
          <w:lang w:val="en-US" w:eastAsia="zh-CN"/>
        </w:rPr>
        <w:t>由省分公司工会作为合同主办部门发起合同审批，与成交人签订合同，合同有效期为1年，完成订单的发起、审批、执行，并完成合同履约及付款工作</w:t>
      </w:r>
      <w:r>
        <w:rPr>
          <w:rFonts w:ascii="宋体" w:eastAsia="宋体" w:hAnsi="宋体" w:cs="宋体" w:hint="eastAsia"/>
          <w:bCs/>
          <w:sz w:val="24"/>
        </w:rPr>
        <w:t>。</w:t>
      </w:r>
    </w:p>
    <w:p w14:paraId="1AF0C9E3">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十、</w:t>
      </w:r>
      <w:r>
        <w:rPr>
          <w:rFonts w:ascii="宋体" w:eastAsia="宋体" w:hAnsi="宋体" w:cs="宋体" w:hint="eastAsia"/>
          <w:b/>
          <w:sz w:val="24"/>
        </w:rPr>
        <w:t>联系方式：</w:t>
      </w:r>
    </w:p>
    <w:p w14:paraId="6309C3F4">
      <w:pPr>
        <w:autoSpaceDE w:val="0"/>
        <w:spacing w:before="50" w:line="240" w:lineRule="atLeast"/>
        <w:ind w:firstLine="480" w:firstLineChars="200"/>
        <w:rPr>
          <w:rFonts w:ascii="宋体" w:eastAsia="宋体" w:hAnsi="宋体" w:cs="宋体" w:hint="eastAsia"/>
          <w:b/>
          <w:bCs/>
          <w:sz w:val="24"/>
        </w:rPr>
      </w:pPr>
      <w:r>
        <w:rPr>
          <w:rFonts w:ascii="宋体" w:eastAsia="宋体" w:hAnsi="宋体" w:cs="宋体" w:hint="eastAsia"/>
          <w:b/>
          <w:bCs/>
          <w:sz w:val="24"/>
        </w:rPr>
        <w:t>1.采购代理：成都万安建设项目管理有限公司</w:t>
      </w:r>
    </w:p>
    <w:p w14:paraId="177397C2">
      <w:pPr>
        <w:spacing w:line="440" w:lineRule="exact"/>
        <w:ind w:firstLine="480" w:firstLineChars="200"/>
        <w:rPr>
          <w:rFonts w:ascii="宋体" w:eastAsia="宋体" w:hAnsi="宋体" w:cs="宋体" w:hint="eastAsia"/>
          <w:kern w:val="0"/>
          <w:sz w:val="24"/>
        </w:rPr>
      </w:pPr>
      <w:r>
        <w:rPr>
          <w:rFonts w:eastAsia="宋体" w:hAnsi="宋体" w:cs="宋体" w:hint="eastAsia"/>
          <w:sz w:val="24"/>
        </w:rPr>
        <w:t>地    址：</w:t>
      </w:r>
      <w:r>
        <w:rPr>
          <w:rFonts w:ascii="宋体" w:eastAsia="宋体" w:hAnsi="宋体" w:cs="宋体" w:hint="eastAsia"/>
          <w:kern w:val="0"/>
          <w:sz w:val="24"/>
        </w:rPr>
        <w:t>成都市高新区吉泰五路88号花样年香年广场T3三楼</w:t>
      </w:r>
    </w:p>
    <w:p w14:paraId="6577D37C">
      <w:pPr>
        <w:pStyle w:val="a"/>
        <w:spacing w:before="50" w:line="240" w:lineRule="atLeast"/>
        <w:ind w:firstLine="480" w:firstLineChars="200"/>
        <w:rPr>
          <w:rFonts w:eastAsia="宋体" w:hAnsi="宋体" w:cs="宋体" w:hint="eastAsia"/>
          <w:sz w:val="24"/>
        </w:rPr>
      </w:pPr>
      <w:r>
        <w:rPr>
          <w:rFonts w:eastAsia="宋体" w:hAnsi="宋体" w:cs="宋体" w:hint="eastAsia"/>
          <w:sz w:val="24"/>
        </w:rPr>
        <w:t>联 系 人：杨女士</w:t>
      </w:r>
    </w:p>
    <w:p w14:paraId="474AD6E9">
      <w:pPr>
        <w:pStyle w:val="a"/>
        <w:spacing w:before="50" w:line="240" w:lineRule="atLeast"/>
        <w:ind w:firstLine="480" w:firstLineChars="200"/>
        <w:rPr>
          <w:rFonts w:eastAsia="宋体" w:hAnsi="宋体" w:cs="宋体" w:hint="eastAsia"/>
          <w:sz w:val="24"/>
        </w:rPr>
      </w:pPr>
      <w:r>
        <w:rPr>
          <w:rFonts w:eastAsia="宋体" w:hAnsi="宋体" w:cs="宋体" w:hint="eastAsia"/>
          <w:sz w:val="24"/>
        </w:rPr>
        <w:t>联系电话：15183907710</w:t>
      </w:r>
    </w:p>
    <w:p w14:paraId="4AA3EFF8">
      <w:pPr>
        <w:pStyle w:val="a"/>
        <w:keepNext/>
        <w:spacing w:before="50" w:line="240" w:lineRule="atLeast"/>
        <w:ind w:firstLine="480" w:firstLineChars="200"/>
        <w:rPr>
          <w:rFonts w:eastAsia="宋体" w:hAnsi="宋体" w:cs="宋体" w:hint="eastAsia"/>
          <w:b/>
          <w:bCs/>
          <w:sz w:val="24"/>
        </w:rPr>
      </w:pPr>
      <w:r>
        <w:rPr>
          <w:rFonts w:eastAsia="宋体" w:hAnsi="宋体" w:cs="宋体" w:hint="eastAsia"/>
          <w:b/>
          <w:bCs/>
          <w:sz w:val="24"/>
        </w:rPr>
        <w:t>2.中国邮政电子采购平台：https://cg.11185.cn/</w:t>
      </w:r>
    </w:p>
    <w:p w14:paraId="0742040F">
      <w:pPr>
        <w:pStyle w:val="a"/>
        <w:spacing w:before="50" w:line="240" w:lineRule="atLeast"/>
        <w:ind w:firstLine="480" w:firstLineChars="200"/>
        <w:rPr>
          <w:rFonts w:eastAsia="宋体" w:hAnsi="宋体" w:cs="宋体" w:hint="eastAsia"/>
          <w:sz w:val="24"/>
        </w:rPr>
      </w:pPr>
      <w:r>
        <w:rPr>
          <w:rFonts w:eastAsia="宋体" w:hAnsi="宋体" w:cs="宋体" w:hint="eastAsia"/>
          <w:sz w:val="24"/>
        </w:rPr>
        <w:t>网站注册与操作问题联系客服电话：400-</w:t>
      </w:r>
      <w:r>
        <w:rPr>
          <w:rFonts w:eastAsia="宋体" w:hAnsi="宋体" w:cs="宋体" w:hint="eastAsia"/>
          <w:sz w:val="24"/>
          <w:lang w:val="en-US" w:eastAsia="zh-CN"/>
        </w:rPr>
        <w:t>709-1099</w:t>
      </w:r>
      <w:r>
        <w:rPr>
          <w:rFonts w:eastAsia="宋体" w:hAnsi="宋体" w:cs="宋体" w:hint="eastAsia"/>
          <w:sz w:val="24"/>
        </w:rPr>
        <w:t xml:space="preserve"> (周一～周五9:00-17:00）；</w:t>
      </w:r>
    </w:p>
    <w:p w14:paraId="6685D43F">
      <w:pPr>
        <w:pStyle w:val="a"/>
        <w:spacing w:before="50" w:line="240" w:lineRule="atLeast"/>
        <w:ind w:firstLine="480" w:firstLineChars="200"/>
        <w:rPr>
          <w:rFonts w:eastAsia="宋体" w:hAnsi="宋体" w:cs="宋体" w:hint="eastAsia"/>
          <w:sz w:val="24"/>
        </w:rPr>
      </w:pPr>
      <w:r>
        <w:rPr>
          <w:rFonts w:eastAsia="宋体" w:hAnsi="宋体" w:cs="宋体" w:hint="eastAsia"/>
          <w:sz w:val="24"/>
        </w:rPr>
        <w:t>网站CA客服电话：</w:t>
      </w:r>
      <w:r>
        <w:rPr>
          <w:rFonts w:ascii="宋体" w:eastAsia="宋体" w:hAnsi="宋体" w:cs="宋体" w:hint="eastAsia"/>
          <w:sz w:val="24"/>
        </w:rPr>
        <w:t>400-</w:t>
      </w:r>
      <w:r>
        <w:rPr>
          <w:rFonts w:ascii="宋体" w:eastAsia="宋体" w:hAnsi="宋体" w:cs="宋体" w:hint="eastAsia"/>
          <w:sz w:val="24"/>
          <w:lang w:val="en-US" w:eastAsia="zh-CN"/>
        </w:rPr>
        <w:t>788</w:t>
      </w:r>
      <w:r>
        <w:rPr>
          <w:rFonts w:ascii="宋体" w:eastAsia="宋体" w:hAnsi="宋体" w:cs="宋体" w:hint="eastAsia"/>
          <w:sz w:val="24"/>
        </w:rPr>
        <w:t>-8</w:t>
      </w:r>
      <w:r>
        <w:rPr>
          <w:rFonts w:ascii="宋体" w:eastAsia="宋体" w:hAnsi="宋体" w:cs="宋体" w:hint="eastAsia"/>
          <w:sz w:val="24"/>
          <w:lang w:val="en-US" w:eastAsia="zh-CN"/>
        </w:rPr>
        <w:t>550</w:t>
      </w:r>
      <w:r>
        <w:rPr>
          <w:rFonts w:eastAsia="宋体" w:hAnsi="宋体" w:cs="宋体" w:hint="eastAsia"/>
          <w:sz w:val="24"/>
        </w:rPr>
        <w:t xml:space="preserve"> (周一～周五9:00-17:00）。</w:t>
      </w:r>
    </w:p>
    <w:p w14:paraId="5343AD18"/>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405DE9"/>
    <w:multiLevelType w:val="multilevel"/>
    <w:tmpl w:val="50405DE9"/>
    <w:lvl w:ilvl="0">
      <w:start w:val="1"/>
      <w:numFmt w:val="decimal"/>
      <w:suff w:val="nothing"/>
      <w:lvlText w:val="（%1）"/>
      <w:lvlJc w:val="left"/>
      <w:pPr>
        <w:ind w:left="0" w:firstLine="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ocumentProtection w:edit="readOnly" w:enforcement="1" w:cryptProviderType="rsaFull" w:cryptAlgorithmClass="hash" w:cryptAlgorithmType="typeAny" w:cryptAlgorithmSid="4" w:cryptSpinCount="50000" w:hash="JpmxebpniHahq4pzcuyX86bp4W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3C1285"/>
    <w:rsid w:val="553C128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FirstIndent2"/>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FirstIndent2">
    <w:name w:val="Body Text First Indent 2"/>
    <w:basedOn w:val="Normal"/>
    <w:next w:val="Normal"/>
    <w:qFormat/>
    <w:pPr>
      <w:spacing w:after="120" w:line="240" w:lineRule="auto"/>
      <w:ind w:left="200" w:firstLine="200" w:leftChars="200" w:firstLineChars="200"/>
    </w:pPr>
    <w:rPr>
      <w:sz w:val="21"/>
    </w:rPr>
  </w:style>
  <w:style w:type="paragraph" w:customStyle="1" w:styleId="a">
    <w:name w:val="_正文段落"/>
    <w:basedOn w:val="Normal"/>
    <w:qFormat/>
    <w:pPr>
      <w:widowControl/>
      <w:spacing w:line="360" w:lineRule="auto"/>
      <w:jc w:val="left"/>
    </w:pPr>
    <w:rPr>
      <w:rFonts w:ascii="宋体" w:eastAsia="仿宋_GB2312"/>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仙女山的月亮</dc:creator>
  <cp:lastModifiedBy>仙女山的月亮</cp:lastModifiedBy>
  <cp:revision>1</cp:revision>
  <dcterms:created xsi:type="dcterms:W3CDTF">2025-06-09T01:11:00Z</dcterms:created>
  <dcterms:modified xsi:type="dcterms:W3CDTF">2025-06-09T01:12:54Z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F790F4A2FBA54FACA5BDB3921906A78B_11</vt:lpwstr>
  </property>
  <property fmtid="{D5CDD505-2E9C-101B-9397-08002B2CF9AE}" pid="3" name="KSOProductBuildVer">
    <vt:lpwstr>2052-12.1.0.18912</vt:lpwstr>
  </property>
</Properties>
</file>