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C6EC75">
      <w:pPr>
        <w:spacing w:line="480" w:lineRule="auto"/>
        <w:ind w:firstLine="480" w:firstLineChars="200"/>
        <w:rPr>
          <w:rFonts w:ascii="宋体" w:hAnsi="宋体" w:cs="宋体"/>
          <w:sz w:val="24"/>
        </w:rPr>
      </w:pPr>
      <w:r>
        <w:rPr>
          <w:rFonts w:hint="eastAsia" w:ascii="宋体" w:hAnsi="宋体" w:cs="宋体"/>
          <w:sz w:val="24"/>
        </w:rPr>
        <w:t>一、</w:t>
      </w:r>
      <w:r>
        <w:rPr>
          <w:rFonts w:ascii="宋体" w:hAnsi="宋体" w:cs="宋体"/>
          <w:sz w:val="24"/>
        </w:rPr>
        <w:t>项目概况</w:t>
      </w:r>
    </w:p>
    <w:p w14:paraId="3517FBDA">
      <w:pPr>
        <w:spacing w:line="480" w:lineRule="auto"/>
        <w:ind w:firstLine="480" w:firstLineChars="200"/>
        <w:rPr>
          <w:rFonts w:ascii="宋体" w:hAnsi="宋体" w:cs="宋体"/>
          <w:sz w:val="24"/>
        </w:rPr>
      </w:pPr>
      <w:r>
        <w:rPr>
          <w:rFonts w:hint="eastAsia" w:ascii="宋体" w:hAnsi="宋体" w:cs="宋体"/>
          <w:sz w:val="24"/>
        </w:rPr>
        <w:t>1</w:t>
      </w:r>
      <w:r>
        <w:rPr>
          <w:rFonts w:hint="eastAsia" w:ascii="宋体" w:hAnsi="宋体"/>
          <w:sz w:val="24"/>
        </w:rPr>
        <w:t>.</w:t>
      </w:r>
      <w:r>
        <w:rPr>
          <w:rFonts w:ascii="宋体" w:hAnsi="宋体" w:cs="宋体"/>
          <w:sz w:val="24"/>
        </w:rPr>
        <w:t>项目名称：</w:t>
      </w:r>
      <w:r>
        <w:rPr>
          <w:rFonts w:hint="eastAsia" w:ascii="宋体" w:hAnsi="宋体" w:cs="宋体"/>
          <w:sz w:val="24"/>
        </w:rPr>
        <w:t>广元市利州区北街幼儿园运动场改造项目</w:t>
      </w:r>
      <w:r>
        <w:rPr>
          <w:rFonts w:ascii="宋体" w:hAnsi="宋体" w:cs="宋体"/>
          <w:sz w:val="24"/>
        </w:rPr>
        <w:t>。</w:t>
      </w:r>
    </w:p>
    <w:p w14:paraId="61716208">
      <w:pPr>
        <w:spacing w:line="480" w:lineRule="auto"/>
        <w:ind w:firstLine="480" w:firstLineChars="200"/>
        <w:rPr>
          <w:rFonts w:ascii="宋体" w:hAnsi="宋体" w:cs="宋体"/>
          <w:sz w:val="24"/>
        </w:rPr>
      </w:pPr>
      <w:r>
        <w:rPr>
          <w:rFonts w:hint="eastAsia" w:ascii="宋体" w:hAnsi="宋体" w:cs="宋体"/>
          <w:sz w:val="24"/>
        </w:rPr>
        <w:t>2</w:t>
      </w:r>
      <w:r>
        <w:rPr>
          <w:rFonts w:hint="eastAsia" w:ascii="宋体" w:hAnsi="宋体"/>
          <w:sz w:val="24"/>
        </w:rPr>
        <w:t>.</w:t>
      </w:r>
      <w:r>
        <w:rPr>
          <w:rFonts w:ascii="宋体" w:hAnsi="宋体" w:cs="宋体"/>
          <w:sz w:val="24"/>
        </w:rPr>
        <w:t>工程地址：</w:t>
      </w:r>
      <w:r>
        <w:rPr>
          <w:rFonts w:hint="eastAsia" w:ascii="宋体" w:hAnsi="宋体" w:cs="宋体"/>
          <w:sz w:val="24"/>
        </w:rPr>
        <w:t>广元市利州区北街幼儿园</w:t>
      </w:r>
      <w:r>
        <w:rPr>
          <w:rFonts w:ascii="宋体" w:hAnsi="宋体" w:cs="宋体"/>
          <w:sz w:val="24"/>
        </w:rPr>
        <w:t>。</w:t>
      </w:r>
    </w:p>
    <w:p w14:paraId="7A88DA77">
      <w:pPr>
        <w:spacing w:line="480" w:lineRule="auto"/>
        <w:ind w:firstLine="480" w:firstLineChars="200"/>
        <w:rPr>
          <w:rFonts w:hint="eastAsia" w:ascii="宋体" w:hAnsi="宋体" w:cs="宋体"/>
          <w:sz w:val="24"/>
        </w:rPr>
      </w:pPr>
      <w:r>
        <w:rPr>
          <w:rFonts w:hint="eastAsia" w:ascii="宋体" w:hAnsi="宋体" w:cs="宋体"/>
          <w:sz w:val="24"/>
        </w:rPr>
        <w:t>3</w:t>
      </w:r>
      <w:r>
        <w:rPr>
          <w:rFonts w:hint="eastAsia" w:ascii="宋体" w:hAnsi="宋体"/>
          <w:sz w:val="24"/>
        </w:rPr>
        <w:t>.</w:t>
      </w:r>
      <w:r>
        <w:rPr>
          <w:rFonts w:ascii="宋体" w:hAnsi="宋体" w:cs="宋体"/>
          <w:sz w:val="24"/>
        </w:rPr>
        <w:t>主要建设内容：</w:t>
      </w:r>
      <w:r>
        <w:rPr>
          <w:rFonts w:hint="eastAsia" w:ascii="宋体" w:hAnsi="宋体" w:cs="宋体"/>
          <w:sz w:val="24"/>
        </w:rPr>
        <w:t>详见本项目施工图纸（如有）和工程量清单</w:t>
      </w:r>
      <w:r>
        <w:rPr>
          <w:rFonts w:ascii="宋体" w:hAnsi="宋体" w:cs="宋体"/>
          <w:sz w:val="24"/>
        </w:rPr>
        <w:t>。</w:t>
      </w:r>
      <w:r>
        <w:rPr>
          <w:rFonts w:hint="eastAsia" w:ascii="宋体" w:hAnsi="宋体" w:cs="宋体"/>
          <w:sz w:val="24"/>
        </w:rPr>
        <w:t xml:space="preserve">   </w:t>
      </w:r>
    </w:p>
    <w:p w14:paraId="44AEA5B3">
      <w:pPr>
        <w:spacing w:line="480" w:lineRule="auto"/>
        <w:ind w:firstLine="480" w:firstLineChars="200"/>
        <w:rPr>
          <w:rFonts w:hint="eastAsia" w:ascii="宋体" w:hAnsi="宋体" w:cs="宋体"/>
          <w:sz w:val="24"/>
        </w:rPr>
      </w:pPr>
      <w:r>
        <w:rPr>
          <w:rFonts w:hint="eastAsia" w:ascii="宋体" w:hAnsi="宋体" w:cs="宋体"/>
          <w:sz w:val="24"/>
        </w:rPr>
        <w:t>4.本项目所属行业为:建筑业。</w:t>
      </w:r>
    </w:p>
    <w:p w14:paraId="5E7D8D3A">
      <w:pPr>
        <w:spacing w:line="480" w:lineRule="auto"/>
        <w:ind w:firstLine="480" w:firstLineChars="200"/>
        <w:rPr>
          <w:rFonts w:hint="eastAsia" w:ascii="宋体" w:hAnsi="宋体"/>
          <w:sz w:val="24"/>
        </w:rPr>
      </w:pPr>
      <w:r>
        <w:rPr>
          <w:rFonts w:hint="eastAsia" w:ascii="宋体" w:hAnsi="宋体" w:cs="宋体"/>
          <w:sz w:val="24"/>
        </w:rPr>
        <w:t>二、 技术、服务标准和要求</w:t>
      </w:r>
    </w:p>
    <w:p w14:paraId="736CD3E6">
      <w:pPr>
        <w:spacing w:line="480" w:lineRule="auto"/>
        <w:ind w:firstLine="480" w:firstLineChars="200"/>
        <w:rPr>
          <w:rFonts w:ascii="宋体" w:hAnsi="宋体"/>
          <w:sz w:val="24"/>
        </w:rPr>
      </w:pPr>
      <w:r>
        <w:rPr>
          <w:rFonts w:hint="eastAsia" w:ascii="宋体" w:hAnsi="宋体"/>
          <w:sz w:val="24"/>
        </w:rPr>
        <w:t>1.技术质量标准</w:t>
      </w:r>
    </w:p>
    <w:p w14:paraId="173F43DC">
      <w:pPr>
        <w:spacing w:line="480" w:lineRule="auto"/>
        <w:ind w:firstLine="480" w:firstLineChars="200"/>
        <w:rPr>
          <w:rFonts w:ascii="宋体" w:hAnsi="宋体"/>
          <w:sz w:val="24"/>
        </w:rPr>
      </w:pPr>
      <w:r>
        <w:rPr>
          <w:rFonts w:hint="eastAsia" w:ascii="宋体" w:hAnsi="宋体"/>
          <w:sz w:val="24"/>
        </w:rPr>
        <w:t>1.1工程技术满足施工图纸、工程量清单及现行国家、行业与本项目相关的技术标准和要求；</w:t>
      </w:r>
    </w:p>
    <w:p w14:paraId="34A38AE6">
      <w:pPr>
        <w:spacing w:line="480" w:lineRule="auto"/>
        <w:ind w:firstLine="480" w:firstLineChars="200"/>
        <w:rPr>
          <w:rFonts w:ascii="宋体" w:hAnsi="宋体"/>
          <w:sz w:val="24"/>
        </w:rPr>
      </w:pPr>
      <w:r>
        <w:rPr>
          <w:rFonts w:hint="eastAsia" w:ascii="宋体" w:hAnsi="宋体"/>
          <w:sz w:val="24"/>
        </w:rPr>
        <w:t>1.2工程质量满足设计、施工、验收规范要求，符合现行国家、行业与本项目相关的规范要求，并通过相关部门验收合格；</w:t>
      </w:r>
    </w:p>
    <w:p w14:paraId="1DD98FA1">
      <w:pPr>
        <w:spacing w:line="480" w:lineRule="auto"/>
        <w:ind w:firstLine="480" w:firstLineChars="200"/>
        <w:rPr>
          <w:rFonts w:ascii="宋体" w:hAnsi="宋体"/>
          <w:sz w:val="24"/>
        </w:rPr>
      </w:pPr>
      <w:r>
        <w:rPr>
          <w:rFonts w:hint="eastAsia" w:ascii="宋体" w:hAnsi="宋体"/>
          <w:sz w:val="24"/>
        </w:rPr>
        <w:t>1.3工程使用的材料符合国家标准、行业标准，并按规定送检。</w:t>
      </w:r>
    </w:p>
    <w:p w14:paraId="3DBAA40E">
      <w:pPr>
        <w:spacing w:line="480" w:lineRule="auto"/>
        <w:ind w:firstLine="480" w:firstLineChars="200"/>
        <w:rPr>
          <w:rFonts w:ascii="宋体" w:hAnsi="宋体"/>
          <w:sz w:val="24"/>
        </w:rPr>
      </w:pPr>
      <w:r>
        <w:rPr>
          <w:rFonts w:hint="eastAsia" w:ascii="宋体" w:hAnsi="宋体"/>
          <w:sz w:val="24"/>
        </w:rPr>
        <w:t>1.4供应商针对本项目的施工，应达到国家及行业现行技术规范标准，符合国家及行业验收合格标准。</w:t>
      </w:r>
    </w:p>
    <w:p w14:paraId="01CA9559">
      <w:pPr>
        <w:spacing w:line="480" w:lineRule="auto"/>
        <w:ind w:firstLine="480" w:firstLineChars="200"/>
        <w:rPr>
          <w:rFonts w:ascii="宋体" w:hAnsi="宋体"/>
          <w:sz w:val="24"/>
        </w:rPr>
      </w:pPr>
      <w:r>
        <w:rPr>
          <w:rFonts w:hint="eastAsia" w:ascii="宋体" w:hAnsi="宋体"/>
          <w:sz w:val="24"/>
        </w:rPr>
        <w:t>2.施工管理</w:t>
      </w:r>
    </w:p>
    <w:p w14:paraId="24301285">
      <w:pPr>
        <w:spacing w:line="480" w:lineRule="auto"/>
        <w:ind w:firstLine="480" w:firstLineChars="200"/>
        <w:rPr>
          <w:rFonts w:ascii="宋体" w:hAnsi="宋体"/>
          <w:sz w:val="24"/>
        </w:rPr>
      </w:pPr>
      <w:r>
        <w:rPr>
          <w:rFonts w:hint="eastAsia" w:ascii="宋体" w:hAnsi="宋体"/>
          <w:sz w:val="24"/>
        </w:rPr>
        <w:t>2.1本项目严格实行压证施工制度，压证人员包括项目经理、技术负责人、施工员、质量员、安全员，在工程竣工验收合格后退还；在项目施工期间，项目班子人员做到每天到场并接受采购人不定期检查和考核，如采购人检查时发现项目班子人员不在现场，采购人按照相关规定进行处罚。</w:t>
      </w:r>
    </w:p>
    <w:p w14:paraId="30814F78">
      <w:pPr>
        <w:spacing w:line="480" w:lineRule="auto"/>
        <w:ind w:firstLine="480" w:firstLineChars="200"/>
        <w:rPr>
          <w:rFonts w:ascii="宋体" w:hAnsi="宋体"/>
          <w:sz w:val="24"/>
        </w:rPr>
      </w:pPr>
      <w:r>
        <w:rPr>
          <w:rFonts w:hint="eastAsia" w:ascii="宋体" w:hAnsi="宋体"/>
          <w:sz w:val="24"/>
        </w:rPr>
        <w:t>2.2漏项工程处理：施工过程中，发现工程量清单存在漏项工程的，该漏项工程作为本项目本章采购需求的组成部分，采购人和供应商可以按照《中华人民共和国政府采购法》的规定签订不超过成交金额百分之十的补充合同。</w:t>
      </w:r>
    </w:p>
    <w:p w14:paraId="4151F254">
      <w:pPr>
        <w:spacing w:line="480" w:lineRule="auto"/>
        <w:ind w:firstLine="482" w:firstLineChars="200"/>
        <w:rPr>
          <w:rFonts w:ascii="宋体" w:hAnsi="宋体"/>
          <w:sz w:val="24"/>
        </w:rPr>
      </w:pPr>
      <w:r>
        <w:rPr>
          <w:rFonts w:hint="eastAsia" w:ascii="宋体" w:hAnsi="宋体" w:cs="仿宋_GB2312"/>
          <w:b/>
          <w:sz w:val="24"/>
        </w:rPr>
        <w:t>★</w:t>
      </w:r>
      <w:r>
        <w:rPr>
          <w:rFonts w:hint="eastAsia" w:ascii="宋体" w:hAnsi="宋体"/>
          <w:sz w:val="24"/>
        </w:rPr>
        <w:t>3.安全管理：供应商在响应文件中应承诺：在工程施工过程中应采取充分有效的安全保护措施，加强安全教育和安全防范，避免对人员或财产造成伤害和损害，所有安全责任均由供应商承担。（供应商须在响应文件中提供承诺书原件）</w:t>
      </w:r>
    </w:p>
    <w:p w14:paraId="5F549049">
      <w:pPr>
        <w:spacing w:line="480" w:lineRule="auto"/>
        <w:ind w:firstLine="480" w:firstLineChars="200"/>
        <w:rPr>
          <w:rFonts w:hint="eastAsia" w:ascii="宋体" w:hAnsi="宋体"/>
          <w:sz w:val="24"/>
        </w:rPr>
      </w:pPr>
      <w:r>
        <w:rPr>
          <w:rFonts w:hint="eastAsia" w:ascii="宋体" w:hAnsi="宋体"/>
          <w:sz w:val="24"/>
        </w:rPr>
        <w:t>4.环保要求：成交供应商在施工期间应按照相关部门要求做好环境保护和污染治理。</w:t>
      </w:r>
    </w:p>
    <w:p w14:paraId="311D20A7">
      <w:pPr>
        <w:spacing w:line="480" w:lineRule="auto"/>
        <w:ind w:firstLine="480" w:firstLineChars="200"/>
        <w:rPr>
          <w:rFonts w:ascii="宋体" w:hAnsi="宋体"/>
          <w:sz w:val="24"/>
        </w:rPr>
      </w:pPr>
      <w:r>
        <w:rPr>
          <w:rFonts w:hint="eastAsia" w:ascii="宋体" w:hAnsi="宋体"/>
          <w:sz w:val="24"/>
        </w:rPr>
        <w:t>三、</w:t>
      </w:r>
      <w:r>
        <w:rPr>
          <w:rFonts w:ascii="宋体" w:hAnsi="宋体"/>
          <w:sz w:val="24"/>
        </w:rPr>
        <w:t>商务要求</w:t>
      </w:r>
      <w:r>
        <w:rPr>
          <w:rFonts w:hint="eastAsia" w:ascii="宋体" w:hAnsi="宋体"/>
          <w:sz w:val="24"/>
        </w:rPr>
        <w:t>：</w:t>
      </w:r>
    </w:p>
    <w:tbl>
      <w:tblPr>
        <w:tblStyle w:val="2"/>
        <w:tblW w:w="9046" w:type="dxa"/>
        <w:jc w:val="center"/>
        <w:tblLayout w:type="fixed"/>
        <w:tblCellMar>
          <w:top w:w="0" w:type="dxa"/>
          <w:left w:w="108" w:type="dxa"/>
          <w:bottom w:w="0" w:type="dxa"/>
          <w:right w:w="108" w:type="dxa"/>
        </w:tblCellMar>
      </w:tblPr>
      <w:tblGrid>
        <w:gridCol w:w="529"/>
        <w:gridCol w:w="1417"/>
        <w:gridCol w:w="7100"/>
      </w:tblGrid>
      <w:tr w14:paraId="3DB9EAC9">
        <w:tblPrEx>
          <w:tblCellMar>
            <w:top w:w="0" w:type="dxa"/>
            <w:left w:w="108" w:type="dxa"/>
            <w:bottom w:w="0" w:type="dxa"/>
            <w:right w:w="108" w:type="dxa"/>
          </w:tblCellMar>
        </w:tblPrEx>
        <w:trPr>
          <w:trHeight w:val="705" w:hRule="atLeast"/>
          <w:jc w:val="center"/>
        </w:trPr>
        <w:tc>
          <w:tcPr>
            <w:tcW w:w="529" w:type="dxa"/>
            <w:tcBorders>
              <w:top w:val="single" w:color="auto" w:sz="4" w:space="0"/>
              <w:left w:val="single" w:color="auto" w:sz="4" w:space="0"/>
              <w:bottom w:val="single" w:color="auto" w:sz="4" w:space="0"/>
              <w:right w:val="single" w:color="auto" w:sz="4" w:space="0"/>
            </w:tcBorders>
            <w:noWrap w:val="0"/>
            <w:vAlign w:val="center"/>
          </w:tcPr>
          <w:p w14:paraId="1D8E2F88">
            <w:pPr>
              <w:spacing w:line="360" w:lineRule="auto"/>
              <w:ind w:right="21" w:rightChars="10"/>
              <w:jc w:val="center"/>
              <w:rPr>
                <w:rFonts w:ascii="宋体" w:hAnsi="宋体"/>
                <w:b/>
                <w:bCs/>
                <w:sz w:val="24"/>
              </w:rPr>
            </w:pPr>
            <w:r>
              <w:rPr>
                <w:rFonts w:hint="eastAsia" w:ascii="宋体" w:hAnsi="宋体" w:cs="仿宋"/>
                <w:b/>
                <w:bCs/>
                <w:sz w:val="24"/>
              </w:rPr>
              <w:t>序号</w:t>
            </w:r>
          </w:p>
        </w:tc>
        <w:tc>
          <w:tcPr>
            <w:tcW w:w="1417" w:type="dxa"/>
            <w:tcBorders>
              <w:top w:val="single" w:color="auto" w:sz="4" w:space="0"/>
              <w:left w:val="nil"/>
              <w:bottom w:val="single" w:color="auto" w:sz="4" w:space="0"/>
              <w:right w:val="single" w:color="auto" w:sz="4" w:space="0"/>
            </w:tcBorders>
            <w:noWrap w:val="0"/>
            <w:vAlign w:val="center"/>
          </w:tcPr>
          <w:p w14:paraId="4E4441A0">
            <w:pPr>
              <w:spacing w:line="360" w:lineRule="auto"/>
              <w:ind w:right="21" w:rightChars="10"/>
              <w:jc w:val="center"/>
              <w:rPr>
                <w:rFonts w:ascii="宋体" w:hAnsi="宋体"/>
                <w:b/>
                <w:bCs/>
                <w:sz w:val="24"/>
              </w:rPr>
            </w:pPr>
            <w:r>
              <w:rPr>
                <w:rFonts w:hint="eastAsia" w:ascii="宋体" w:hAnsi="宋体" w:cs="仿宋"/>
                <w:b/>
                <w:bCs/>
                <w:sz w:val="24"/>
              </w:rPr>
              <w:t>项目</w:t>
            </w:r>
          </w:p>
        </w:tc>
        <w:tc>
          <w:tcPr>
            <w:tcW w:w="7100" w:type="dxa"/>
            <w:tcBorders>
              <w:top w:val="single" w:color="auto" w:sz="4" w:space="0"/>
              <w:left w:val="nil"/>
              <w:bottom w:val="single" w:color="auto" w:sz="4" w:space="0"/>
              <w:right w:val="single" w:color="auto" w:sz="4" w:space="0"/>
            </w:tcBorders>
            <w:noWrap w:val="0"/>
            <w:vAlign w:val="center"/>
          </w:tcPr>
          <w:p w14:paraId="73DE079A">
            <w:pPr>
              <w:spacing w:line="360" w:lineRule="auto"/>
              <w:ind w:right="21" w:rightChars="10"/>
              <w:jc w:val="center"/>
              <w:rPr>
                <w:rFonts w:ascii="宋体" w:hAnsi="宋体"/>
                <w:b/>
                <w:bCs/>
                <w:sz w:val="24"/>
              </w:rPr>
            </w:pPr>
            <w:r>
              <w:rPr>
                <w:rFonts w:hint="eastAsia" w:ascii="宋体" w:hAnsi="宋体" w:cs="仿宋"/>
                <w:b/>
                <w:bCs/>
                <w:sz w:val="24"/>
              </w:rPr>
              <w:t>要求</w:t>
            </w:r>
          </w:p>
        </w:tc>
      </w:tr>
      <w:tr w14:paraId="61ECEC45">
        <w:tblPrEx>
          <w:tblCellMar>
            <w:top w:w="0" w:type="dxa"/>
            <w:left w:w="108" w:type="dxa"/>
            <w:bottom w:w="0" w:type="dxa"/>
            <w:right w:w="108" w:type="dxa"/>
          </w:tblCellMar>
        </w:tblPrEx>
        <w:trPr>
          <w:trHeight w:val="624" w:hRule="atLeast"/>
          <w:jc w:val="center"/>
        </w:trPr>
        <w:tc>
          <w:tcPr>
            <w:tcW w:w="529" w:type="dxa"/>
            <w:tcBorders>
              <w:top w:val="single" w:color="auto" w:sz="4" w:space="0"/>
              <w:left w:val="single" w:color="auto" w:sz="4" w:space="0"/>
              <w:bottom w:val="single" w:color="auto" w:sz="4" w:space="0"/>
              <w:right w:val="single" w:color="auto" w:sz="4" w:space="0"/>
            </w:tcBorders>
            <w:noWrap w:val="0"/>
            <w:vAlign w:val="center"/>
          </w:tcPr>
          <w:p w14:paraId="039957A2">
            <w:pPr>
              <w:spacing w:line="360" w:lineRule="auto"/>
              <w:ind w:right="21" w:rightChars="10"/>
              <w:jc w:val="center"/>
              <w:rPr>
                <w:rFonts w:ascii="宋体" w:hAnsi="宋体"/>
                <w:szCs w:val="21"/>
              </w:rPr>
            </w:pPr>
            <w:r>
              <w:rPr>
                <w:rFonts w:hint="eastAsia" w:ascii="宋体" w:hAnsi="宋体"/>
                <w:szCs w:val="21"/>
              </w:rPr>
              <w:t>1</w:t>
            </w:r>
          </w:p>
        </w:tc>
        <w:tc>
          <w:tcPr>
            <w:tcW w:w="1417" w:type="dxa"/>
            <w:tcBorders>
              <w:top w:val="single" w:color="auto" w:sz="4" w:space="0"/>
              <w:left w:val="nil"/>
              <w:bottom w:val="single" w:color="auto" w:sz="4" w:space="0"/>
              <w:right w:val="single" w:color="auto" w:sz="4" w:space="0"/>
            </w:tcBorders>
            <w:noWrap w:val="0"/>
            <w:vAlign w:val="center"/>
          </w:tcPr>
          <w:p w14:paraId="49342C03">
            <w:pPr>
              <w:spacing w:line="360" w:lineRule="auto"/>
              <w:jc w:val="center"/>
              <w:rPr>
                <w:rFonts w:ascii="宋体" w:hAnsi="宋体" w:cs="宋体"/>
                <w:b/>
                <w:bCs/>
                <w:szCs w:val="21"/>
              </w:rPr>
            </w:pPr>
            <w:r>
              <w:rPr>
                <w:rFonts w:hint="eastAsia" w:ascii="宋体" w:hAnsi="宋体" w:cs="仿宋"/>
                <w:szCs w:val="21"/>
              </w:rPr>
              <w:t>工期和进度</w:t>
            </w:r>
          </w:p>
        </w:tc>
        <w:tc>
          <w:tcPr>
            <w:tcW w:w="7100" w:type="dxa"/>
            <w:tcBorders>
              <w:top w:val="single" w:color="auto" w:sz="4" w:space="0"/>
              <w:left w:val="nil"/>
              <w:bottom w:val="single" w:color="auto" w:sz="4" w:space="0"/>
              <w:right w:val="single" w:color="auto" w:sz="4" w:space="0"/>
            </w:tcBorders>
            <w:noWrap w:val="0"/>
            <w:vAlign w:val="center"/>
          </w:tcPr>
          <w:p w14:paraId="6BE12ADF">
            <w:pPr>
              <w:spacing w:line="360" w:lineRule="auto"/>
              <w:ind w:right="21" w:rightChars="10"/>
              <w:rPr>
                <w:rFonts w:ascii="宋体" w:hAnsi="宋体" w:cs="仿宋"/>
                <w:b/>
                <w:bCs/>
                <w:szCs w:val="21"/>
              </w:rPr>
            </w:pPr>
            <w:r>
              <w:rPr>
                <w:rFonts w:hint="eastAsia" w:ascii="宋体" w:hAnsi="宋体"/>
                <w:szCs w:val="21"/>
              </w:rPr>
              <w:t>工期总日历天数：45天。</w:t>
            </w:r>
          </w:p>
        </w:tc>
      </w:tr>
      <w:tr w14:paraId="30D6789C">
        <w:tblPrEx>
          <w:tblCellMar>
            <w:top w:w="0" w:type="dxa"/>
            <w:left w:w="108" w:type="dxa"/>
            <w:bottom w:w="0" w:type="dxa"/>
            <w:right w:w="108" w:type="dxa"/>
          </w:tblCellMar>
        </w:tblPrEx>
        <w:trPr>
          <w:trHeight w:val="705" w:hRule="atLeast"/>
          <w:jc w:val="center"/>
        </w:trPr>
        <w:tc>
          <w:tcPr>
            <w:tcW w:w="529" w:type="dxa"/>
            <w:tcBorders>
              <w:top w:val="single" w:color="auto" w:sz="4" w:space="0"/>
              <w:left w:val="single" w:color="auto" w:sz="4" w:space="0"/>
              <w:bottom w:val="single" w:color="auto" w:sz="4" w:space="0"/>
              <w:right w:val="single" w:color="auto" w:sz="4" w:space="0"/>
            </w:tcBorders>
            <w:noWrap w:val="0"/>
            <w:vAlign w:val="center"/>
          </w:tcPr>
          <w:p w14:paraId="2ECF0235">
            <w:pPr>
              <w:spacing w:line="360" w:lineRule="auto"/>
              <w:ind w:right="21" w:rightChars="10"/>
              <w:jc w:val="center"/>
              <w:rPr>
                <w:rFonts w:ascii="宋体" w:hAnsi="宋体"/>
                <w:szCs w:val="21"/>
              </w:rPr>
            </w:pPr>
            <w:r>
              <w:rPr>
                <w:rFonts w:hint="eastAsia" w:ascii="宋体" w:hAnsi="宋体"/>
                <w:szCs w:val="21"/>
              </w:rPr>
              <w:t>2</w:t>
            </w:r>
          </w:p>
        </w:tc>
        <w:tc>
          <w:tcPr>
            <w:tcW w:w="1417" w:type="dxa"/>
            <w:tcBorders>
              <w:top w:val="single" w:color="auto" w:sz="4" w:space="0"/>
              <w:left w:val="nil"/>
              <w:bottom w:val="single" w:color="auto" w:sz="4" w:space="0"/>
              <w:right w:val="single" w:color="auto" w:sz="4" w:space="0"/>
            </w:tcBorders>
            <w:noWrap w:val="0"/>
            <w:vAlign w:val="center"/>
          </w:tcPr>
          <w:p w14:paraId="3CD67875">
            <w:pPr>
              <w:spacing w:line="360" w:lineRule="auto"/>
              <w:jc w:val="center"/>
              <w:rPr>
                <w:rFonts w:ascii="宋体" w:hAnsi="宋体"/>
                <w:szCs w:val="21"/>
              </w:rPr>
            </w:pPr>
            <w:r>
              <w:rPr>
                <w:rFonts w:hint="eastAsia" w:ascii="宋体" w:hAnsi="宋体" w:cs="仿宋"/>
                <w:szCs w:val="21"/>
              </w:rPr>
              <w:t>缺陷责任期</w:t>
            </w:r>
          </w:p>
        </w:tc>
        <w:tc>
          <w:tcPr>
            <w:tcW w:w="7100" w:type="dxa"/>
            <w:tcBorders>
              <w:top w:val="single" w:color="auto" w:sz="4" w:space="0"/>
              <w:left w:val="nil"/>
              <w:bottom w:val="single" w:color="auto" w:sz="4" w:space="0"/>
              <w:right w:val="single" w:color="auto" w:sz="4" w:space="0"/>
            </w:tcBorders>
            <w:noWrap w:val="0"/>
            <w:vAlign w:val="center"/>
          </w:tcPr>
          <w:p w14:paraId="02A798D4">
            <w:pPr>
              <w:spacing w:line="360" w:lineRule="auto"/>
              <w:jc w:val="left"/>
              <w:rPr>
                <w:rFonts w:ascii="宋体" w:hAnsi="宋体"/>
                <w:szCs w:val="21"/>
              </w:rPr>
            </w:pPr>
            <w:r>
              <w:rPr>
                <w:rFonts w:hint="eastAsia" w:ascii="宋体" w:hAnsi="宋体" w:cs="仿宋"/>
                <w:szCs w:val="21"/>
              </w:rPr>
              <w:t>本项目缺陷责任期为1年(从工程竣工验收合格之日起计算) ，缺陷责任期内，由成交供应商原因造成的质量缺陷,由成交供应商承担缺陷修复义务,并承担相应费用。</w:t>
            </w:r>
          </w:p>
        </w:tc>
      </w:tr>
      <w:tr w14:paraId="508E350F">
        <w:tblPrEx>
          <w:tblCellMar>
            <w:top w:w="0" w:type="dxa"/>
            <w:left w:w="108" w:type="dxa"/>
            <w:bottom w:w="0" w:type="dxa"/>
            <w:right w:w="108" w:type="dxa"/>
          </w:tblCellMar>
        </w:tblPrEx>
        <w:trPr>
          <w:trHeight w:val="705" w:hRule="atLeast"/>
          <w:jc w:val="center"/>
        </w:trPr>
        <w:tc>
          <w:tcPr>
            <w:tcW w:w="529" w:type="dxa"/>
            <w:tcBorders>
              <w:top w:val="single" w:color="auto" w:sz="4" w:space="0"/>
              <w:left w:val="single" w:color="auto" w:sz="4" w:space="0"/>
              <w:bottom w:val="single" w:color="auto" w:sz="4" w:space="0"/>
              <w:right w:val="single" w:color="auto" w:sz="4" w:space="0"/>
            </w:tcBorders>
            <w:noWrap w:val="0"/>
            <w:vAlign w:val="center"/>
          </w:tcPr>
          <w:p w14:paraId="61EE44DC">
            <w:pPr>
              <w:spacing w:line="360" w:lineRule="auto"/>
              <w:ind w:firstLine="105" w:firstLineChars="50"/>
              <w:jc w:val="left"/>
              <w:rPr>
                <w:rFonts w:ascii="宋体" w:hAnsi="宋体" w:cs="仿宋"/>
                <w:szCs w:val="21"/>
              </w:rPr>
            </w:pPr>
            <w:r>
              <w:rPr>
                <w:rFonts w:hint="eastAsia" w:ascii="宋体" w:hAnsi="宋体" w:cs="仿宋"/>
                <w:szCs w:val="21"/>
              </w:rPr>
              <w:t>3</w:t>
            </w:r>
          </w:p>
        </w:tc>
        <w:tc>
          <w:tcPr>
            <w:tcW w:w="1417" w:type="dxa"/>
            <w:tcBorders>
              <w:top w:val="single" w:color="auto" w:sz="4" w:space="0"/>
              <w:left w:val="nil"/>
              <w:bottom w:val="single" w:color="auto" w:sz="4" w:space="0"/>
              <w:right w:val="single" w:color="auto" w:sz="4" w:space="0"/>
            </w:tcBorders>
            <w:noWrap w:val="0"/>
            <w:vAlign w:val="center"/>
          </w:tcPr>
          <w:p w14:paraId="78FCD98D">
            <w:pPr>
              <w:spacing w:line="360" w:lineRule="auto"/>
              <w:jc w:val="center"/>
              <w:rPr>
                <w:rFonts w:ascii="宋体" w:hAnsi="宋体" w:cs="仿宋"/>
                <w:szCs w:val="21"/>
              </w:rPr>
            </w:pPr>
            <w:r>
              <w:rPr>
                <w:rFonts w:hint="eastAsia" w:ascii="宋体" w:hAnsi="宋体" w:cs="仿宋"/>
                <w:szCs w:val="21"/>
              </w:rPr>
              <w:t>拟任项目技术负责人</w:t>
            </w:r>
          </w:p>
        </w:tc>
        <w:tc>
          <w:tcPr>
            <w:tcW w:w="7100" w:type="dxa"/>
            <w:tcBorders>
              <w:top w:val="single" w:color="auto" w:sz="4" w:space="0"/>
              <w:left w:val="nil"/>
              <w:bottom w:val="single" w:color="auto" w:sz="4" w:space="0"/>
              <w:right w:val="single" w:color="auto" w:sz="4" w:space="0"/>
            </w:tcBorders>
            <w:noWrap w:val="0"/>
            <w:vAlign w:val="center"/>
          </w:tcPr>
          <w:p w14:paraId="037F664F">
            <w:pPr>
              <w:spacing w:line="360" w:lineRule="auto"/>
              <w:jc w:val="left"/>
              <w:rPr>
                <w:rFonts w:ascii="宋体" w:hAnsi="宋体" w:cs="仿宋"/>
                <w:szCs w:val="21"/>
              </w:rPr>
            </w:pPr>
            <w:r>
              <w:rPr>
                <w:rFonts w:hint="eastAsia" w:ascii="宋体" w:hAnsi="宋体" w:cs="宋体"/>
                <w:color w:val="000000"/>
                <w:szCs w:val="21"/>
              </w:rPr>
              <w:t>项目技术负责人具备有效的建筑工程专业技术中级以上职称</w:t>
            </w:r>
            <w:r>
              <w:rPr>
                <w:rFonts w:hint="eastAsia" w:ascii="宋体" w:hAnsi="宋体" w:cs="仿宋"/>
                <w:szCs w:val="21"/>
              </w:rPr>
              <w:t>（提供复印件加盖供应商鲜章）。</w:t>
            </w:r>
          </w:p>
        </w:tc>
      </w:tr>
      <w:tr w14:paraId="189A652B">
        <w:tblPrEx>
          <w:tblCellMar>
            <w:top w:w="0" w:type="dxa"/>
            <w:left w:w="108" w:type="dxa"/>
            <w:bottom w:w="0" w:type="dxa"/>
            <w:right w:w="108" w:type="dxa"/>
          </w:tblCellMar>
        </w:tblPrEx>
        <w:trPr>
          <w:trHeight w:val="1057" w:hRule="atLeast"/>
          <w:jc w:val="center"/>
        </w:trPr>
        <w:tc>
          <w:tcPr>
            <w:tcW w:w="529" w:type="dxa"/>
            <w:tcBorders>
              <w:top w:val="single" w:color="auto" w:sz="4" w:space="0"/>
              <w:left w:val="single" w:color="auto" w:sz="4" w:space="0"/>
              <w:bottom w:val="single" w:color="auto" w:sz="4" w:space="0"/>
              <w:right w:val="single" w:color="auto" w:sz="4" w:space="0"/>
            </w:tcBorders>
            <w:noWrap w:val="0"/>
            <w:vAlign w:val="center"/>
          </w:tcPr>
          <w:p w14:paraId="5F58B15F">
            <w:pPr>
              <w:spacing w:line="360" w:lineRule="auto"/>
              <w:ind w:right="21" w:rightChars="10"/>
              <w:jc w:val="center"/>
              <w:rPr>
                <w:rFonts w:ascii="宋体" w:hAnsi="宋体"/>
                <w:bCs/>
                <w:szCs w:val="21"/>
              </w:rPr>
            </w:pPr>
            <w:r>
              <w:rPr>
                <w:rFonts w:hint="eastAsia" w:ascii="宋体" w:hAnsi="宋体"/>
                <w:bCs/>
                <w:szCs w:val="21"/>
              </w:rPr>
              <w:t>4</w:t>
            </w:r>
          </w:p>
        </w:tc>
        <w:tc>
          <w:tcPr>
            <w:tcW w:w="1417" w:type="dxa"/>
            <w:tcBorders>
              <w:top w:val="single" w:color="auto" w:sz="4" w:space="0"/>
              <w:left w:val="nil"/>
              <w:bottom w:val="single" w:color="auto" w:sz="4" w:space="0"/>
              <w:right w:val="single" w:color="auto" w:sz="4" w:space="0"/>
            </w:tcBorders>
            <w:noWrap w:val="0"/>
            <w:vAlign w:val="center"/>
          </w:tcPr>
          <w:p w14:paraId="2DDC519B">
            <w:pPr>
              <w:spacing w:line="360" w:lineRule="auto"/>
              <w:jc w:val="center"/>
              <w:rPr>
                <w:rFonts w:ascii="宋体" w:hAnsi="宋体" w:cs="仿宋"/>
                <w:szCs w:val="21"/>
              </w:rPr>
            </w:pPr>
            <w:r>
              <w:rPr>
                <w:rFonts w:hint="eastAsia" w:ascii="宋体" w:hAnsi="宋体" w:cs="仿宋"/>
                <w:szCs w:val="21"/>
              </w:rPr>
              <w:t>质量保修期</w:t>
            </w:r>
          </w:p>
        </w:tc>
        <w:tc>
          <w:tcPr>
            <w:tcW w:w="7100" w:type="dxa"/>
            <w:tcBorders>
              <w:top w:val="single" w:color="auto" w:sz="4" w:space="0"/>
              <w:left w:val="nil"/>
              <w:bottom w:val="single" w:color="auto" w:sz="4" w:space="0"/>
              <w:right w:val="single" w:color="auto" w:sz="4" w:space="0"/>
            </w:tcBorders>
            <w:noWrap w:val="0"/>
            <w:vAlign w:val="center"/>
          </w:tcPr>
          <w:p w14:paraId="495C0BCB">
            <w:pPr>
              <w:spacing w:line="360" w:lineRule="auto"/>
              <w:jc w:val="left"/>
              <w:rPr>
                <w:rFonts w:ascii="宋体" w:hAnsi="宋体"/>
                <w:szCs w:val="21"/>
              </w:rPr>
            </w:pPr>
            <w:r>
              <w:rPr>
                <w:rFonts w:hint="eastAsia" w:ascii="宋体" w:hAnsi="宋体" w:cs="仿宋"/>
                <w:szCs w:val="21"/>
              </w:rPr>
              <w:t>本项目质量保修期从竣工验收合格之日起计算，质量保修期为1年，</w:t>
            </w:r>
            <w:r>
              <w:rPr>
                <w:rFonts w:ascii="宋体" w:hAnsi="宋体" w:cs="仿宋"/>
                <w:szCs w:val="21"/>
              </w:rPr>
              <w:t>有防水要求的</w:t>
            </w:r>
            <w:r>
              <w:rPr>
                <w:rFonts w:hint="eastAsia" w:ascii="宋体" w:hAnsi="宋体" w:cs="仿宋"/>
                <w:szCs w:val="21"/>
              </w:rPr>
              <w:t>防水工程</w:t>
            </w:r>
            <w:r>
              <w:rPr>
                <w:rFonts w:ascii="宋体" w:hAnsi="宋体" w:cs="仿宋"/>
                <w:szCs w:val="21"/>
              </w:rPr>
              <w:t>为5年</w:t>
            </w:r>
            <w:r>
              <w:rPr>
                <w:rFonts w:hint="eastAsia" w:ascii="宋体" w:hAnsi="宋体" w:cs="仿宋"/>
                <w:szCs w:val="21"/>
              </w:rPr>
              <w:t>。在规定的保修期内，工程出现质量问题，由原施工单位承担保修，所需费用由责任人方承担。</w:t>
            </w:r>
          </w:p>
        </w:tc>
      </w:tr>
      <w:tr w14:paraId="4387AF11">
        <w:tblPrEx>
          <w:tblCellMar>
            <w:top w:w="0" w:type="dxa"/>
            <w:left w:w="108" w:type="dxa"/>
            <w:bottom w:w="0" w:type="dxa"/>
            <w:right w:w="108" w:type="dxa"/>
          </w:tblCellMar>
        </w:tblPrEx>
        <w:trPr>
          <w:trHeight w:val="408" w:hRule="atLeast"/>
          <w:jc w:val="center"/>
        </w:trPr>
        <w:tc>
          <w:tcPr>
            <w:tcW w:w="529" w:type="dxa"/>
            <w:tcBorders>
              <w:top w:val="single" w:color="auto" w:sz="4" w:space="0"/>
              <w:left w:val="single" w:color="auto" w:sz="4" w:space="0"/>
              <w:bottom w:val="single" w:color="auto" w:sz="4" w:space="0"/>
              <w:right w:val="single" w:color="auto" w:sz="4" w:space="0"/>
            </w:tcBorders>
            <w:noWrap w:val="0"/>
            <w:vAlign w:val="center"/>
          </w:tcPr>
          <w:p w14:paraId="3EB5B95D">
            <w:pPr>
              <w:spacing w:line="360" w:lineRule="auto"/>
              <w:ind w:right="21" w:rightChars="10"/>
              <w:jc w:val="center"/>
              <w:rPr>
                <w:rFonts w:ascii="宋体" w:hAnsi="宋体"/>
                <w:szCs w:val="21"/>
              </w:rPr>
            </w:pPr>
            <w:r>
              <w:rPr>
                <w:rFonts w:hint="eastAsia" w:ascii="宋体" w:hAnsi="宋体"/>
                <w:szCs w:val="21"/>
              </w:rPr>
              <w:t>5</w:t>
            </w:r>
          </w:p>
        </w:tc>
        <w:tc>
          <w:tcPr>
            <w:tcW w:w="1417" w:type="dxa"/>
            <w:tcBorders>
              <w:top w:val="single" w:color="auto" w:sz="4" w:space="0"/>
              <w:left w:val="nil"/>
              <w:bottom w:val="single" w:color="auto" w:sz="4" w:space="0"/>
              <w:right w:val="single" w:color="auto" w:sz="4" w:space="0"/>
            </w:tcBorders>
            <w:noWrap w:val="0"/>
            <w:vAlign w:val="center"/>
          </w:tcPr>
          <w:p w14:paraId="259E96D4">
            <w:pPr>
              <w:spacing w:line="360" w:lineRule="auto"/>
              <w:jc w:val="center"/>
              <w:rPr>
                <w:rFonts w:ascii="宋体" w:hAnsi="宋体" w:cs="仿宋"/>
                <w:szCs w:val="21"/>
              </w:rPr>
            </w:pPr>
            <w:r>
              <w:rPr>
                <w:rFonts w:hint="eastAsia" w:ascii="宋体" w:hAnsi="宋体" w:cs="仿宋"/>
                <w:szCs w:val="21"/>
              </w:rPr>
              <w:t>其他售后服务要求</w:t>
            </w:r>
          </w:p>
        </w:tc>
        <w:tc>
          <w:tcPr>
            <w:tcW w:w="7100" w:type="dxa"/>
            <w:tcBorders>
              <w:top w:val="single" w:color="auto" w:sz="4" w:space="0"/>
              <w:left w:val="nil"/>
              <w:bottom w:val="single" w:color="auto" w:sz="4" w:space="0"/>
              <w:right w:val="single" w:color="auto" w:sz="4" w:space="0"/>
            </w:tcBorders>
            <w:noWrap w:val="0"/>
            <w:vAlign w:val="center"/>
          </w:tcPr>
          <w:p w14:paraId="1289A731">
            <w:pPr>
              <w:spacing w:line="360" w:lineRule="auto"/>
              <w:ind w:right="21" w:rightChars="10"/>
              <w:jc w:val="left"/>
              <w:rPr>
                <w:rFonts w:ascii="宋体" w:hAnsi="宋体"/>
                <w:szCs w:val="21"/>
              </w:rPr>
            </w:pPr>
            <w:r>
              <w:rPr>
                <w:rFonts w:hint="eastAsia" w:ascii="宋体" w:hAnsi="宋体" w:cs="仿宋"/>
                <w:szCs w:val="21"/>
              </w:rPr>
              <w:t xml:space="preserve"> 在质量保修期内出现质量问题（不可抗力因素除外），成交供应商在接到采购人维修通知后30分钟内响应，4小时内到达现场，在双方确定的合理时间内解决问题，成交供应商免费进行维修。</w:t>
            </w:r>
          </w:p>
        </w:tc>
      </w:tr>
      <w:tr w14:paraId="775AB5B2">
        <w:tblPrEx>
          <w:tblCellMar>
            <w:top w:w="0" w:type="dxa"/>
            <w:left w:w="108" w:type="dxa"/>
            <w:bottom w:w="0" w:type="dxa"/>
            <w:right w:w="108" w:type="dxa"/>
          </w:tblCellMar>
        </w:tblPrEx>
        <w:trPr>
          <w:trHeight w:val="982" w:hRule="atLeast"/>
          <w:jc w:val="center"/>
        </w:trPr>
        <w:tc>
          <w:tcPr>
            <w:tcW w:w="529" w:type="dxa"/>
            <w:tcBorders>
              <w:top w:val="single" w:color="auto" w:sz="4" w:space="0"/>
              <w:left w:val="single" w:color="auto" w:sz="4" w:space="0"/>
              <w:bottom w:val="single" w:color="auto" w:sz="4" w:space="0"/>
              <w:right w:val="single" w:color="auto" w:sz="4" w:space="0"/>
            </w:tcBorders>
            <w:noWrap w:val="0"/>
            <w:vAlign w:val="center"/>
          </w:tcPr>
          <w:p w14:paraId="7C4E6EB4">
            <w:pPr>
              <w:spacing w:line="360" w:lineRule="auto"/>
              <w:ind w:right="21" w:rightChars="10"/>
              <w:jc w:val="center"/>
              <w:rPr>
                <w:rFonts w:ascii="宋体" w:hAnsi="宋体"/>
                <w:szCs w:val="21"/>
              </w:rPr>
            </w:pPr>
            <w:r>
              <w:rPr>
                <w:rFonts w:hint="eastAsia" w:ascii="宋体" w:hAnsi="宋体"/>
                <w:szCs w:val="21"/>
              </w:rPr>
              <w:t>6</w:t>
            </w:r>
          </w:p>
        </w:tc>
        <w:tc>
          <w:tcPr>
            <w:tcW w:w="1417" w:type="dxa"/>
            <w:tcBorders>
              <w:top w:val="single" w:color="auto" w:sz="4" w:space="0"/>
              <w:left w:val="nil"/>
              <w:bottom w:val="single" w:color="auto" w:sz="4" w:space="0"/>
              <w:right w:val="single" w:color="auto" w:sz="4" w:space="0"/>
            </w:tcBorders>
            <w:noWrap w:val="0"/>
            <w:vAlign w:val="center"/>
          </w:tcPr>
          <w:p w14:paraId="50A44F08">
            <w:pPr>
              <w:spacing w:line="620" w:lineRule="exact"/>
              <w:jc w:val="left"/>
              <w:rPr>
                <w:rFonts w:ascii="宋体" w:hAnsi="宋体" w:cs="宋体"/>
                <w:b/>
                <w:szCs w:val="21"/>
              </w:rPr>
            </w:pPr>
            <w:r>
              <w:rPr>
                <w:rFonts w:hint="eastAsia" w:ascii="宋体" w:hAnsi="宋体" w:cs="仿宋_GB2312"/>
                <w:b/>
                <w:sz w:val="24"/>
              </w:rPr>
              <w:t>★</w:t>
            </w:r>
            <w:r>
              <w:rPr>
                <w:rFonts w:hint="eastAsia" w:ascii="宋体" w:hAnsi="宋体" w:cs="仿宋"/>
                <w:szCs w:val="21"/>
              </w:rPr>
              <w:t>项目结算</w:t>
            </w:r>
          </w:p>
        </w:tc>
        <w:tc>
          <w:tcPr>
            <w:tcW w:w="7100" w:type="dxa"/>
            <w:tcBorders>
              <w:top w:val="single" w:color="auto" w:sz="4" w:space="0"/>
              <w:left w:val="nil"/>
              <w:bottom w:val="single" w:color="auto" w:sz="4" w:space="0"/>
              <w:right w:val="single" w:color="auto" w:sz="4" w:space="0"/>
            </w:tcBorders>
            <w:noWrap w:val="0"/>
            <w:vAlign w:val="center"/>
          </w:tcPr>
          <w:p w14:paraId="14F41CAC">
            <w:pPr>
              <w:spacing w:line="360" w:lineRule="auto"/>
              <w:jc w:val="left"/>
              <w:rPr>
                <w:rFonts w:ascii="宋体" w:hAnsi="宋体" w:cs="微软雅黑"/>
                <w:szCs w:val="21"/>
                <w:u w:val="single"/>
              </w:rPr>
            </w:pPr>
            <w:r>
              <w:rPr>
                <w:rFonts w:hint="eastAsia" w:ascii="宋体" w:hAnsi="宋体" w:cs="仿宋"/>
                <w:szCs w:val="21"/>
              </w:rPr>
              <w:t xml:space="preserve">本项目执行固定单价，项目完工经竣工验收合格，由采购人和成交供应商按照相关规定办理工程竣工结算，最终金额以结算审计审定金额为准。 </w:t>
            </w:r>
          </w:p>
        </w:tc>
      </w:tr>
      <w:tr w14:paraId="6121B11C">
        <w:tblPrEx>
          <w:tblCellMar>
            <w:top w:w="0" w:type="dxa"/>
            <w:left w:w="108" w:type="dxa"/>
            <w:bottom w:w="0" w:type="dxa"/>
            <w:right w:w="108" w:type="dxa"/>
          </w:tblCellMar>
        </w:tblPrEx>
        <w:trPr>
          <w:trHeight w:val="1209" w:hRule="atLeast"/>
          <w:jc w:val="center"/>
        </w:trPr>
        <w:tc>
          <w:tcPr>
            <w:tcW w:w="529" w:type="dxa"/>
            <w:tcBorders>
              <w:top w:val="single" w:color="auto" w:sz="4" w:space="0"/>
              <w:left w:val="single" w:color="auto" w:sz="4" w:space="0"/>
              <w:bottom w:val="single" w:color="auto" w:sz="4" w:space="0"/>
              <w:right w:val="single" w:color="auto" w:sz="4" w:space="0"/>
            </w:tcBorders>
            <w:noWrap w:val="0"/>
            <w:vAlign w:val="center"/>
          </w:tcPr>
          <w:p w14:paraId="0D01A9AD">
            <w:pPr>
              <w:spacing w:line="360" w:lineRule="auto"/>
              <w:ind w:right="21" w:rightChars="10"/>
              <w:jc w:val="center"/>
              <w:rPr>
                <w:rFonts w:ascii="宋体" w:hAnsi="宋体" w:cs="仿宋"/>
                <w:szCs w:val="21"/>
              </w:rPr>
            </w:pPr>
            <w:r>
              <w:rPr>
                <w:rFonts w:hint="eastAsia" w:ascii="宋体" w:hAnsi="宋体" w:cs="仿宋"/>
                <w:szCs w:val="21"/>
              </w:rPr>
              <w:t>7</w:t>
            </w:r>
          </w:p>
        </w:tc>
        <w:tc>
          <w:tcPr>
            <w:tcW w:w="1417" w:type="dxa"/>
            <w:tcBorders>
              <w:top w:val="single" w:color="auto" w:sz="4" w:space="0"/>
              <w:left w:val="nil"/>
              <w:bottom w:val="single" w:color="auto" w:sz="4" w:space="0"/>
              <w:right w:val="single" w:color="auto" w:sz="4" w:space="0"/>
            </w:tcBorders>
            <w:noWrap w:val="0"/>
            <w:vAlign w:val="center"/>
          </w:tcPr>
          <w:p w14:paraId="5CB8598F">
            <w:pPr>
              <w:spacing w:line="360" w:lineRule="auto"/>
              <w:ind w:right="21" w:rightChars="10"/>
              <w:jc w:val="center"/>
              <w:rPr>
                <w:rFonts w:ascii="宋体" w:hAnsi="宋体"/>
                <w:szCs w:val="21"/>
              </w:rPr>
            </w:pPr>
            <w:r>
              <w:rPr>
                <w:rFonts w:hint="eastAsia" w:ascii="宋体" w:hAnsi="宋体" w:cs="仿宋"/>
                <w:szCs w:val="21"/>
              </w:rPr>
              <w:t>付款方式</w:t>
            </w:r>
          </w:p>
        </w:tc>
        <w:tc>
          <w:tcPr>
            <w:tcW w:w="7100" w:type="dxa"/>
            <w:tcBorders>
              <w:top w:val="single" w:color="auto" w:sz="4" w:space="0"/>
              <w:left w:val="nil"/>
              <w:bottom w:val="single" w:color="auto" w:sz="4" w:space="0"/>
              <w:right w:val="single" w:color="auto" w:sz="4" w:space="0"/>
            </w:tcBorders>
            <w:noWrap w:val="0"/>
            <w:vAlign w:val="center"/>
          </w:tcPr>
          <w:p w14:paraId="548CF6CD">
            <w:pPr>
              <w:spacing w:line="360" w:lineRule="auto"/>
              <w:jc w:val="left"/>
              <w:rPr>
                <w:rFonts w:hint="eastAsia" w:ascii="宋体" w:hAnsi="宋体" w:cs="仿宋"/>
                <w:szCs w:val="21"/>
              </w:rPr>
            </w:pPr>
            <w:r>
              <w:rPr>
                <w:rFonts w:hint="eastAsia" w:ascii="宋体" w:hAnsi="宋体" w:cs="仿宋"/>
                <w:szCs w:val="21"/>
              </w:rPr>
              <w:t>1.</w:t>
            </w:r>
            <w:r>
              <w:rPr>
                <w:rFonts w:ascii="宋体" w:hAnsi="宋体" w:cs="仿宋"/>
                <w:szCs w:val="21"/>
              </w:rPr>
              <w:t>工程预付款</w:t>
            </w:r>
            <w:r>
              <w:rPr>
                <w:rFonts w:hint="eastAsia" w:ascii="宋体" w:hAnsi="宋体" w:cs="仿宋"/>
                <w:szCs w:val="21"/>
              </w:rPr>
              <w:t>：</w:t>
            </w:r>
            <w:r>
              <w:rPr>
                <w:rFonts w:ascii="宋体" w:hAnsi="宋体" w:cs="仿宋"/>
                <w:szCs w:val="21"/>
              </w:rPr>
              <w:t>支付预付款的时间和金额或占合同价款的比例：进场后下达开工令5日内，发包方支付预付款为合同总价的</w:t>
            </w:r>
            <w:r>
              <w:rPr>
                <w:rFonts w:hint="eastAsia" w:ascii="宋体" w:hAnsi="宋体" w:cs="仿宋"/>
                <w:szCs w:val="21"/>
              </w:rPr>
              <w:t>30</w:t>
            </w:r>
            <w:r>
              <w:rPr>
                <w:rFonts w:ascii="宋体" w:hAnsi="宋体" w:cs="仿宋"/>
                <w:szCs w:val="21"/>
              </w:rPr>
              <w:t>%（不含暂列金、安全文明施工费、规费）。</w:t>
            </w:r>
            <w:r>
              <w:rPr>
                <w:rFonts w:ascii="宋体" w:hAnsi="宋体" w:cs="仿宋"/>
                <w:szCs w:val="21"/>
              </w:rPr>
              <w:br w:type="textWrapping"/>
            </w:r>
            <w:r>
              <w:rPr>
                <w:rFonts w:hint="eastAsia" w:ascii="宋体" w:hAnsi="宋体" w:cs="仿宋"/>
                <w:szCs w:val="21"/>
              </w:rPr>
              <w:t>2.</w:t>
            </w:r>
            <w:r>
              <w:rPr>
                <w:rFonts w:ascii="宋体" w:hAnsi="宋体" w:cs="仿宋"/>
                <w:szCs w:val="21"/>
              </w:rPr>
              <w:t>工程款（进度款）支付</w:t>
            </w:r>
            <w:r>
              <w:rPr>
                <w:rFonts w:hint="eastAsia" w:ascii="宋体" w:hAnsi="宋体" w:cs="仿宋"/>
                <w:szCs w:val="21"/>
              </w:rPr>
              <w:t>：</w:t>
            </w:r>
          </w:p>
          <w:p w14:paraId="00A6A13C">
            <w:pPr>
              <w:spacing w:line="360" w:lineRule="auto"/>
              <w:jc w:val="left"/>
              <w:rPr>
                <w:rFonts w:ascii="宋体" w:hAnsi="宋体" w:cs="宋体"/>
                <w:szCs w:val="21"/>
              </w:rPr>
            </w:pPr>
            <w:r>
              <w:rPr>
                <w:rFonts w:hint="eastAsia" w:ascii="宋体" w:hAnsi="宋体" w:cs="仿宋"/>
                <w:szCs w:val="21"/>
              </w:rPr>
              <w:t>2.1工程完工验收合格并取得质量鉴定报告后，支付至合同金额的80%；</w:t>
            </w:r>
            <w:r>
              <w:rPr>
                <w:rFonts w:ascii="宋体" w:hAnsi="宋体" w:cs="仿宋"/>
                <w:szCs w:val="21"/>
              </w:rPr>
              <w:br w:type="textWrapping"/>
            </w:r>
            <w:r>
              <w:rPr>
                <w:rFonts w:hint="eastAsia" w:ascii="宋体" w:hAnsi="宋体" w:cs="仿宋"/>
                <w:szCs w:val="21"/>
              </w:rPr>
              <w:t>2.2项目完工验收合格，经审计后支付至审计金额的97</w:t>
            </w:r>
            <w:r>
              <w:rPr>
                <w:rFonts w:ascii="宋体" w:hAnsi="宋体" w:cs="仿宋"/>
                <w:szCs w:val="21"/>
              </w:rPr>
              <w:t>%</w:t>
            </w:r>
            <w:r>
              <w:rPr>
                <w:rFonts w:hint="eastAsia" w:ascii="宋体" w:hAnsi="宋体" w:cs="仿宋"/>
                <w:szCs w:val="21"/>
              </w:rPr>
              <w:t>，缺陷责任期到期后，出具缺陷责任终止证书后，经采购人确认无质量问题支付剩余3%（不计息）</w:t>
            </w:r>
            <w:r>
              <w:rPr>
                <w:rFonts w:ascii="宋体" w:hAnsi="宋体" w:cs="仿宋"/>
                <w:szCs w:val="21"/>
              </w:rPr>
              <w:t>。</w:t>
            </w:r>
          </w:p>
        </w:tc>
      </w:tr>
      <w:tr w14:paraId="3D0AE3C2">
        <w:tblPrEx>
          <w:tblCellMar>
            <w:top w:w="0" w:type="dxa"/>
            <w:left w:w="108" w:type="dxa"/>
            <w:bottom w:w="0" w:type="dxa"/>
            <w:right w:w="108" w:type="dxa"/>
          </w:tblCellMar>
        </w:tblPrEx>
        <w:trPr>
          <w:trHeight w:val="537" w:hRule="atLeast"/>
          <w:jc w:val="center"/>
        </w:trPr>
        <w:tc>
          <w:tcPr>
            <w:tcW w:w="529" w:type="dxa"/>
            <w:tcBorders>
              <w:top w:val="single" w:color="auto" w:sz="4" w:space="0"/>
              <w:left w:val="single" w:color="auto" w:sz="4" w:space="0"/>
              <w:bottom w:val="single" w:color="auto" w:sz="4" w:space="0"/>
              <w:right w:val="single" w:color="auto" w:sz="4" w:space="0"/>
            </w:tcBorders>
            <w:noWrap w:val="0"/>
            <w:vAlign w:val="center"/>
          </w:tcPr>
          <w:p w14:paraId="332E36B7">
            <w:pPr>
              <w:spacing w:line="360" w:lineRule="auto"/>
              <w:ind w:right="21" w:rightChars="10"/>
              <w:jc w:val="center"/>
              <w:rPr>
                <w:rFonts w:ascii="宋体" w:hAnsi="宋体" w:cs="仿宋"/>
                <w:szCs w:val="21"/>
              </w:rPr>
            </w:pPr>
            <w:r>
              <w:rPr>
                <w:rFonts w:hint="eastAsia" w:ascii="宋体" w:hAnsi="宋体" w:cs="仿宋"/>
                <w:szCs w:val="21"/>
              </w:rPr>
              <w:t>8</w:t>
            </w:r>
          </w:p>
        </w:tc>
        <w:tc>
          <w:tcPr>
            <w:tcW w:w="1417" w:type="dxa"/>
            <w:tcBorders>
              <w:top w:val="single" w:color="auto" w:sz="4" w:space="0"/>
              <w:left w:val="nil"/>
              <w:bottom w:val="single" w:color="auto" w:sz="4" w:space="0"/>
              <w:right w:val="single" w:color="auto" w:sz="4" w:space="0"/>
            </w:tcBorders>
            <w:noWrap w:val="0"/>
            <w:vAlign w:val="center"/>
          </w:tcPr>
          <w:p w14:paraId="3507CD24">
            <w:pPr>
              <w:spacing w:line="360" w:lineRule="auto"/>
              <w:ind w:right="21" w:rightChars="10"/>
              <w:jc w:val="center"/>
              <w:rPr>
                <w:rFonts w:ascii="宋体" w:hAnsi="宋体" w:cs="仿宋"/>
                <w:szCs w:val="21"/>
              </w:rPr>
            </w:pPr>
            <w:r>
              <w:rPr>
                <w:rFonts w:hint="eastAsia" w:ascii="宋体" w:hAnsi="宋体" w:cs="仿宋_GB2312"/>
                <w:b/>
                <w:sz w:val="24"/>
              </w:rPr>
              <w:t>★</w:t>
            </w:r>
            <w:r>
              <w:rPr>
                <w:rFonts w:hint="eastAsia" w:ascii="宋体" w:hAnsi="宋体" w:cs="仿宋"/>
                <w:szCs w:val="21"/>
              </w:rPr>
              <w:t>验收</w:t>
            </w:r>
          </w:p>
        </w:tc>
        <w:tc>
          <w:tcPr>
            <w:tcW w:w="7100" w:type="dxa"/>
            <w:tcBorders>
              <w:top w:val="single" w:color="auto" w:sz="4" w:space="0"/>
              <w:left w:val="nil"/>
              <w:bottom w:val="single" w:color="auto" w:sz="4" w:space="0"/>
              <w:right w:val="single" w:color="auto" w:sz="4" w:space="0"/>
            </w:tcBorders>
            <w:noWrap w:val="0"/>
            <w:vAlign w:val="center"/>
          </w:tcPr>
          <w:p w14:paraId="4904A137">
            <w:pPr>
              <w:spacing w:line="360" w:lineRule="auto"/>
              <w:rPr>
                <w:rFonts w:ascii="宋体" w:hAnsi="宋体" w:cs="仿宋"/>
                <w:szCs w:val="21"/>
              </w:rPr>
            </w:pPr>
            <w:r>
              <w:rPr>
                <w:rFonts w:hint="eastAsia" w:ascii="宋体" w:hAnsi="宋体" w:cs="仿宋"/>
                <w:szCs w:val="21"/>
              </w:rPr>
              <w:t>1.本项目采购人将按照合同约定，依据政府采购相关法律法规、《财政部关于进一步加强政府采购需求和履约验收管理的指导意见》（财库〔2016〕205号）、《政府采购需求管理办法》（财库〔2021〕22号）的要求及国家行业主管部门规定的标准、方法和内容组织验收：按照行业相关技术标准和规定，由采购人组织相关单位及专业人员验收。</w:t>
            </w:r>
          </w:p>
          <w:p w14:paraId="1202B019">
            <w:pPr>
              <w:spacing w:line="360" w:lineRule="auto"/>
              <w:rPr>
                <w:rFonts w:ascii="宋体" w:hAnsi="宋体" w:cs="仿宋"/>
                <w:szCs w:val="21"/>
              </w:rPr>
            </w:pPr>
            <w:r>
              <w:rPr>
                <w:rFonts w:hint="eastAsia" w:ascii="宋体" w:hAnsi="宋体" w:cs="仿宋"/>
                <w:szCs w:val="21"/>
              </w:rPr>
              <w:t>2.交付竣工验收的工程，必须符合规定的工程质量标准，有完整的工程技术经济资料和经签署的工程保修书，并具备国家规定的其他竣工条件。工程竣工经验收合格后，方可交付使用；未经验收或者验收不合格的，不得交付使用。</w:t>
            </w:r>
          </w:p>
          <w:p w14:paraId="5594F8AE">
            <w:pPr>
              <w:spacing w:line="360" w:lineRule="auto"/>
              <w:rPr>
                <w:rFonts w:ascii="宋体" w:hAnsi="宋体" w:cs="仿宋"/>
                <w:szCs w:val="21"/>
              </w:rPr>
            </w:pPr>
            <w:r>
              <w:rPr>
                <w:rFonts w:hint="eastAsia" w:ascii="宋体" w:hAnsi="宋体" w:cs="仿宋"/>
                <w:szCs w:val="21"/>
              </w:rPr>
              <w:t>（1）验收结果合格的，采购人应向成交供应商出具履约验收报告，成交供应商凭验收报告办理相关手续。</w:t>
            </w:r>
          </w:p>
          <w:p w14:paraId="18FA5517">
            <w:pPr>
              <w:spacing w:line="360" w:lineRule="auto"/>
              <w:rPr>
                <w:rFonts w:ascii="宋体" w:hAnsi="宋体" w:cs="仿宋"/>
                <w:szCs w:val="21"/>
              </w:rPr>
            </w:pPr>
            <w:r>
              <w:rPr>
                <w:rFonts w:hint="eastAsia" w:ascii="宋体" w:hAnsi="宋体" w:cs="仿宋"/>
                <w:szCs w:val="21"/>
              </w:rPr>
              <w:t xml:space="preserve">（2）验收结果不合格的，履约保证金将不予退还，给采购人造成的损失超过履约保证金数额的，还应当对超过部分予以赔偿；没有提交履约保证金的，应当对采购人的损失承担赔偿责任。  </w:t>
            </w:r>
          </w:p>
        </w:tc>
      </w:tr>
      <w:tr w14:paraId="2A043AF9">
        <w:tblPrEx>
          <w:tblCellMar>
            <w:top w:w="0" w:type="dxa"/>
            <w:left w:w="108" w:type="dxa"/>
            <w:bottom w:w="0" w:type="dxa"/>
            <w:right w:w="108" w:type="dxa"/>
          </w:tblCellMar>
        </w:tblPrEx>
        <w:trPr>
          <w:trHeight w:val="705" w:hRule="atLeast"/>
          <w:jc w:val="center"/>
        </w:trPr>
        <w:tc>
          <w:tcPr>
            <w:tcW w:w="529" w:type="dxa"/>
            <w:tcBorders>
              <w:top w:val="single" w:color="auto" w:sz="4" w:space="0"/>
              <w:left w:val="single" w:color="auto" w:sz="4" w:space="0"/>
              <w:bottom w:val="single" w:color="auto" w:sz="4" w:space="0"/>
              <w:right w:val="single" w:color="auto" w:sz="4" w:space="0"/>
            </w:tcBorders>
            <w:noWrap w:val="0"/>
            <w:vAlign w:val="center"/>
          </w:tcPr>
          <w:p w14:paraId="48C5C27D">
            <w:pPr>
              <w:spacing w:line="360" w:lineRule="auto"/>
              <w:jc w:val="center"/>
              <w:rPr>
                <w:rFonts w:ascii="宋体" w:hAnsi="宋体" w:cs="仿宋"/>
                <w:szCs w:val="21"/>
              </w:rPr>
            </w:pPr>
            <w:r>
              <w:rPr>
                <w:rFonts w:hint="eastAsia" w:ascii="宋体" w:hAnsi="宋体" w:cs="仿宋"/>
                <w:szCs w:val="21"/>
              </w:rPr>
              <w:t>9</w:t>
            </w:r>
          </w:p>
        </w:tc>
        <w:tc>
          <w:tcPr>
            <w:tcW w:w="1417" w:type="dxa"/>
            <w:tcBorders>
              <w:top w:val="single" w:color="auto" w:sz="4" w:space="0"/>
              <w:left w:val="nil"/>
              <w:bottom w:val="single" w:color="auto" w:sz="4" w:space="0"/>
              <w:right w:val="single" w:color="auto" w:sz="4" w:space="0"/>
            </w:tcBorders>
            <w:noWrap w:val="0"/>
            <w:vAlign w:val="center"/>
          </w:tcPr>
          <w:p w14:paraId="6879FD44">
            <w:pPr>
              <w:spacing w:line="360" w:lineRule="auto"/>
              <w:jc w:val="center"/>
              <w:rPr>
                <w:rFonts w:ascii="宋体" w:hAnsi="宋体" w:cs="仿宋"/>
                <w:szCs w:val="21"/>
              </w:rPr>
            </w:pPr>
            <w:r>
              <w:rPr>
                <w:rFonts w:hint="eastAsia" w:ascii="宋体" w:hAnsi="宋体" w:cs="仿宋"/>
                <w:szCs w:val="21"/>
              </w:rPr>
              <w:t>其他</w:t>
            </w:r>
          </w:p>
        </w:tc>
        <w:tc>
          <w:tcPr>
            <w:tcW w:w="7100" w:type="dxa"/>
            <w:tcBorders>
              <w:top w:val="single" w:color="auto" w:sz="4" w:space="0"/>
              <w:left w:val="nil"/>
              <w:bottom w:val="single" w:color="auto" w:sz="4" w:space="0"/>
              <w:right w:val="single" w:color="auto" w:sz="4" w:space="0"/>
            </w:tcBorders>
            <w:noWrap w:val="0"/>
            <w:vAlign w:val="center"/>
          </w:tcPr>
          <w:p w14:paraId="0DDFB363">
            <w:pPr>
              <w:spacing w:line="360" w:lineRule="auto"/>
              <w:rPr>
                <w:rFonts w:ascii="宋体" w:hAnsi="宋体" w:cs="仿宋"/>
                <w:szCs w:val="21"/>
              </w:rPr>
            </w:pPr>
            <w:r>
              <w:rPr>
                <w:rFonts w:hint="eastAsia" w:ascii="宋体" w:hAnsi="宋体" w:cs="仿宋"/>
                <w:szCs w:val="21"/>
              </w:rPr>
              <w:t>1.采购人不组织项目现场踏勘，潜在供应商可自行前往现场进行踏勘，供应商应对踏勘中获取的现场资料负责。</w:t>
            </w:r>
          </w:p>
          <w:p w14:paraId="16E9E230">
            <w:pPr>
              <w:spacing w:line="360" w:lineRule="auto"/>
              <w:rPr>
                <w:rFonts w:ascii="宋体" w:hAnsi="宋体" w:cs="仿宋"/>
                <w:szCs w:val="21"/>
              </w:rPr>
            </w:pPr>
            <w:r>
              <w:rPr>
                <w:rFonts w:hint="eastAsia" w:ascii="宋体" w:hAnsi="宋体" w:cs="仿宋"/>
                <w:szCs w:val="21"/>
              </w:rPr>
              <w:t>2.其他未尽事宜由采购人与成交供应商在合同中约定。</w:t>
            </w:r>
          </w:p>
        </w:tc>
      </w:tr>
    </w:tbl>
    <w:p w14:paraId="11C960B6">
      <w:pPr>
        <w:spacing w:line="560" w:lineRule="exact"/>
        <w:ind w:firstLine="480" w:firstLineChars="200"/>
        <w:jc w:val="left"/>
        <w:rPr>
          <w:rFonts w:hint="eastAsia" w:ascii="宋体" w:hAnsi="宋体" w:cs="仿宋_GB2312"/>
          <w:sz w:val="24"/>
        </w:rPr>
      </w:pPr>
    </w:p>
    <w:p w14:paraId="0E03686B">
      <w:pPr>
        <w:spacing w:line="560" w:lineRule="exact"/>
        <w:ind w:firstLine="482" w:firstLineChars="200"/>
        <w:jc w:val="left"/>
        <w:rPr>
          <w:rFonts w:hint="eastAsia" w:ascii="宋体" w:hAnsi="宋体"/>
          <w:b/>
          <w:kern w:val="0"/>
          <w:szCs w:val="21"/>
        </w:rPr>
      </w:pPr>
      <w:r>
        <w:rPr>
          <w:rFonts w:hint="eastAsia" w:ascii="宋体" w:hAnsi="宋体" w:cs="仿宋_GB2312"/>
          <w:b/>
          <w:sz w:val="24"/>
        </w:rPr>
        <w:t>带“★”作为实质性要求，不允许负偏离。</w:t>
      </w:r>
    </w:p>
    <w:p w14:paraId="66516362">
      <w:pPr>
        <w:spacing w:line="480" w:lineRule="auto"/>
        <w:ind w:firstLine="480" w:firstLineChars="200"/>
        <w:jc w:val="left"/>
        <w:rPr>
          <w:rFonts w:hint="eastAsia" w:ascii="宋体" w:hAnsi="宋体" w:cs="宋体"/>
          <w:sz w:val="24"/>
        </w:rPr>
      </w:pPr>
    </w:p>
    <w:p w14:paraId="5F7345A3">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EF3359"/>
    <w:rsid w:val="5A4E34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2979</Words>
  <Characters>3045</Characters>
  <Lines>0</Lines>
  <Paragraphs>0</Paragraphs>
  <TotalTime>0</TotalTime>
  <ScaleCrop>false</ScaleCrop>
  <LinksUpToDate>false</LinksUpToDate>
  <CharactersWithSpaces>3054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2025-07-02T03:33:00Z</dcterms:created>
  <dc:creator>Administrator</dc:creator>
  <cp:lastModifiedBy>1</cp:lastModifiedBy>
  <dcterms:modified xsi:type="dcterms:W3CDTF">2025-07-02T07:46:29Z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eyJoZGlkIjoiYzY3ODdjODc0MGRiMmZlMzA1NzcwN2NhMDdiYTkxYjkiLCJ1c2VySWQiOiIxMjExMDE3OTg5In0=</vt:lpwstr>
  </property>
  <property fmtid="{D5CDD505-2E9C-101B-9397-08002B2CF9AE}" pid="4" name="ICV">
    <vt:lpwstr>5752DB6993F043878C98BB7BC3DBAE99_12</vt:lpwstr>
  </property>
</Properties>
</file>