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《兴业银行成都分行信用卡存量客户促活项目》供应商征集反馈材料-公司名称（全称）</w:t>
      </w: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sz w:val="28"/>
          <w:szCs w:val="28"/>
          <w:lang w:val="en-US" w:eastAsia="zh-CN" w:bidi="ar-SA"/>
        </w:rPr>
        <w:t xml:space="preserve">公司简介  </w:t>
      </w:r>
      <w:r>
        <w:rPr>
          <w:rFonts w:hint="eastAsia" w:ascii="仿宋" w:hAnsi="仿宋" w:eastAsia="仿宋" w:cs="Times New Roman"/>
          <w:b/>
          <w:bCs/>
          <w:kern w:val="2"/>
          <w:sz w:val="28"/>
          <w:szCs w:val="28"/>
          <w:lang w:val="en-US" w:eastAsia="zh-CN" w:bidi="ar-SA"/>
        </w:rPr>
        <w:t xml:space="preserve">对应页码P1-P2   </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对应页码P2-P20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pPr>
        <w:pStyle w:val="4"/>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pPr>
        <w:pStyle w:val="1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0" w:firstLineChars="0"/>
        <w:textAlignment w:val="auto"/>
        <w:outlineLvl w:val="1"/>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bidi="ar-SA"/>
        </w:rPr>
        <w:t>XXXXX</w:t>
      </w:r>
      <w:r>
        <w:rPr>
          <w:rFonts w:hint="eastAsia" w:ascii="黑体" w:hAnsi="黑体" w:eastAsia="黑体" w:cs="黑体"/>
          <w:b w:val="0"/>
          <w:bCs/>
          <w:sz w:val="32"/>
          <w:szCs w:val="32"/>
          <w:lang w:val="en-US" w:eastAsia="zh-CN"/>
        </w:rPr>
        <w:t>公司简介：</w:t>
      </w:r>
    </w:p>
    <w:p>
      <w:pPr>
        <w:pStyle w:val="4"/>
        <w:tabs>
          <w:tab w:val="left" w:pos="992"/>
        </w:tabs>
        <w:ind w:firstLine="0" w:firstLineChars="0"/>
        <w:jc w:val="center"/>
        <w:outlineLvl w:val="0"/>
        <w:rPr>
          <w:rFonts w:hint="eastAsia" w:ascii="仿宋" w:hAnsi="仿宋" w:eastAsia="仿宋" w:cs="Times New Roman"/>
          <w:b/>
          <w:bCs/>
          <w:sz w:val="28"/>
          <w:szCs w:val="28"/>
          <w:lang w:bidi="ar-SA"/>
        </w:rPr>
      </w:pPr>
      <w:r>
        <w:rPr>
          <w:rFonts w:hint="eastAsia" w:ascii="仿宋" w:hAnsi="仿宋" w:eastAsia="仿宋" w:cs="Times New Roman"/>
          <w:b/>
          <w:bCs/>
          <w:sz w:val="28"/>
          <w:szCs w:val="28"/>
          <w:lang w:val="en-US" w:eastAsia="zh-CN" w:bidi="ar-SA"/>
        </w:rPr>
        <w:t xml:space="preserve">   </w:t>
      </w:r>
      <w:r>
        <w:rPr>
          <w:rFonts w:hint="eastAsia" w:ascii="仿宋" w:hAnsi="仿宋" w:eastAsia="仿宋" w:cs="Times New Roman"/>
          <w:b/>
          <w:bCs/>
          <w:sz w:val="28"/>
          <w:szCs w:val="28"/>
          <w:lang w:bidi="ar-SA"/>
        </w:rPr>
        <w:t xml:space="preserve"> 公司成立于***年*月，注册资金***万（实缴资本***万），央企/国有控股企业/国有独资企业/国有参股企业/外资控股企业/港资企业/台资企业/民营企业/境外企业，是否上市公司/股票代码，公司总部位于上海******，公司主要股东包括**（****%）、***（****%）、***（****%）【前三大股东及控股比例，从高到底依次说明】。上一年度（***年）财报情况：公司营收***万，利润**万，总资产***万。公司主营业务包括：************。本项目服务领域，公司具备**银行、**银行等合作开展相似案例（符合寻源公告要求的案例）。</w:t>
      </w: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“是否满足”和“基本情况说明”列由供应商填写。）</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19"/>
        <w:gridCol w:w="929"/>
        <w:gridCol w:w="3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1.1采购需求</w:t>
            </w:r>
          </w:p>
          <w:p>
            <w:pPr>
              <w:keepNext w:val="0"/>
              <w:keepLines w:val="0"/>
              <w:pageBreakBefore w:val="0"/>
              <w:widowControl w:val="0"/>
              <w:kinsoku/>
              <w:wordWrap/>
              <w:overflowPunct/>
              <w:topLinePunct/>
              <w:autoSpaceDE/>
              <w:autoSpaceDN/>
              <w:bidi w:val="0"/>
              <w:adjustRightInd/>
              <w:snapToGrid/>
              <w:spacing w:line="320" w:lineRule="exact"/>
              <w:ind w:left="0" w:leftChars="0" w:firstLine="560" w:firstLineChars="200"/>
              <w:textAlignment w:val="auto"/>
              <w:rPr>
                <w:rFonts w:hint="eastAsia"/>
              </w:rPr>
            </w:pPr>
            <w:r>
              <w:rPr>
                <w:rFonts w:hint="eastAsia" w:ascii="仿宋" w:hAnsi="仿宋" w:eastAsia="仿宋" w:cs="仿宋"/>
                <w:b w:val="0"/>
                <w:bCs w:val="0"/>
                <w:sz w:val="28"/>
                <w:szCs w:val="28"/>
                <w:lang w:val="en-US" w:eastAsia="zh-CN"/>
              </w:rPr>
              <w:t>通过在主流线上线下支付渠道开展针对性活动，促进信用卡存量客户交易及消费分期，提升交易频次，有效促活存量客户。项目合作期限为合同签订日起至2025年12月31日，根据活动实际开展情况据实按效果进行结算</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w:t>
            </w:r>
            <w:r>
              <w:rPr>
                <w:rFonts w:hint="eastAsia" w:ascii="仿宋" w:hAnsi="仿宋" w:eastAsia="仿宋" w:cs="仿宋"/>
                <w:b w:val="0"/>
                <w:bCs w:val="0"/>
                <w:sz w:val="28"/>
                <w:szCs w:val="28"/>
                <w:lang w:val="en-US" w:eastAsia="zh-CN"/>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1.2.1活动策划与设计</w:t>
            </w:r>
          </w:p>
          <w:p>
            <w:pPr>
              <w:keepNext w:val="0"/>
              <w:keepLines w:val="0"/>
              <w:pageBreakBefore w:val="0"/>
              <w:widowControl w:val="0"/>
              <w:kinsoku/>
              <w:wordWrap/>
              <w:overflowPunct/>
              <w:topLinePunct/>
              <w:autoSpaceDE/>
              <w:autoSpaceDN/>
              <w:bidi w:val="0"/>
              <w:adjustRightInd/>
              <w:snapToGrid/>
              <w:spacing w:line="320" w:lineRule="exact"/>
              <w:ind w:left="0" w:leftChars="0"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中标方应根据我行信用卡客户群体特征，消费习惯以及市场趋势，制定具有吸引力和针对性的活动方案，确保活动能够精准触达睡眠客户，激发其交易意愿，提升交易分期。</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1.2.2数字营销</w:t>
            </w:r>
          </w:p>
          <w:p>
            <w:pPr>
              <w:keepNext w:val="0"/>
              <w:keepLines w:val="0"/>
              <w:pageBreakBefore w:val="0"/>
              <w:widowControl w:val="0"/>
              <w:kinsoku/>
              <w:wordWrap/>
              <w:overflowPunct/>
              <w:topLinePunct/>
              <w:autoSpaceDE/>
              <w:autoSpaceDN/>
              <w:bidi w:val="0"/>
              <w:adjustRightInd/>
              <w:snapToGrid/>
              <w:spacing w:line="320" w:lineRule="exact"/>
              <w:ind w:left="0" w:leftChars="0"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中标方需具有</w:t>
            </w:r>
            <w:r>
              <w:rPr>
                <w:rFonts w:hint="eastAsia" w:ascii="仿宋" w:hAnsi="仿宋" w:eastAsia="仿宋" w:cs="仿宋"/>
                <w:b w:val="0"/>
                <w:bCs w:val="0"/>
                <w:sz w:val="28"/>
                <w:szCs w:val="28"/>
                <w:lang w:eastAsia="zh-CN"/>
              </w:rPr>
              <w:t>通</w:t>
            </w:r>
            <w:r>
              <w:rPr>
                <w:rFonts w:hint="eastAsia" w:ascii="仿宋" w:hAnsi="仿宋" w:eastAsia="仿宋" w:cs="仿宋"/>
                <w:b w:val="0"/>
                <w:bCs w:val="0"/>
                <w:sz w:val="28"/>
                <w:szCs w:val="28"/>
              </w:rPr>
              <w:t>过安全计算平台对目标人群进行画像洞察和精细分层的能力，并与主流线上支付平台建立紧密合作关系，</w:t>
            </w:r>
            <w:r>
              <w:rPr>
                <w:rFonts w:hint="eastAsia" w:ascii="仿宋" w:hAnsi="仿宋" w:eastAsia="仿宋" w:cs="仿宋"/>
                <w:b w:val="0"/>
                <w:bCs w:val="0"/>
                <w:sz w:val="28"/>
                <w:szCs w:val="28"/>
                <w:lang w:val="en-US" w:eastAsia="zh-CN"/>
              </w:rPr>
              <w:t>通</w:t>
            </w:r>
            <w:r>
              <w:rPr>
                <w:rFonts w:hint="eastAsia" w:ascii="仿宋" w:hAnsi="仿宋" w:eastAsia="仿宋" w:cs="仿宋"/>
                <w:b w:val="0"/>
                <w:bCs w:val="0"/>
                <w:sz w:val="28"/>
                <w:szCs w:val="28"/>
              </w:rPr>
              <w:t>过差异化的场景匹配，活动形态，权益机制，文案设计等，实现对目标人群的交易促动。</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1.2.3运营保障</w:t>
            </w:r>
          </w:p>
          <w:p>
            <w:pPr>
              <w:keepNext w:val="0"/>
              <w:keepLines w:val="0"/>
              <w:pageBreakBefore w:val="0"/>
              <w:widowControl w:val="0"/>
              <w:kinsoku/>
              <w:wordWrap/>
              <w:overflowPunct/>
              <w:topLinePunct/>
              <w:autoSpaceDE/>
              <w:autoSpaceDN/>
              <w:bidi w:val="0"/>
              <w:adjustRightInd/>
              <w:snapToGrid/>
              <w:spacing w:line="320" w:lineRule="exact"/>
              <w:ind w:left="0" w:leftChars="0" w:firstLine="560" w:firstLineChars="20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中标方应根据数据监测运管效果及时调整场景活动策略，持续提供运营策略及需要的运营支撑保障，并定期向我行提供数据反馈，评估活动效果</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1.3</w:t>
            </w:r>
            <w:r>
              <w:rPr>
                <w:rFonts w:hint="eastAsia" w:ascii="仿宋" w:hAnsi="仿宋" w:eastAsia="仿宋" w:cs="仿宋"/>
                <w:b w:val="0"/>
                <w:bCs w:val="0"/>
                <w:sz w:val="28"/>
                <w:szCs w:val="28"/>
                <w:lang w:val="en-US" w:eastAsia="zh-CN"/>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1.3.1企业成立2年以上，近三年财务稳健，可稳定提供服务</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1.3.2提供不少于4个2022年至今和20家国内系统重要性银行（工行、中行、建行、农行、交行、邮储、招商、兴业、中信、浦发、光大、民生、平安、华夏、广发、宁波、江苏、上海、北京、南京）合作开展的与本项目相似成功案例。（须提供有效合同佐证材料）</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1.3.3具备自行配置第三方平台活动的能力，已接入微信支付、支付宝支付。（须提供与微信支付、支付宝支付平台有效合作协议，协议有效期须覆盖本项目服务期限）</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1.3.4已具备银联消费分期至特定商户的配置功能，系统成熟完善（须提与银联有效合作协议，协议有效期须覆盖本项目服务期限）</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2.1依法成立，为存续、在营、开业、在册、登记成立等正常企业状态</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2.2在兴业银行开立对公账户，若中标本项目，则通过兴业银行对公账户结算该项目相关费用</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2.3分理解我行服务需求并能够根据需求提供相应的服务</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2.4具有良好的商业信誉和财务情况</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2.5依法缴纳税收和社会保障资金</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2.6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不在兴业银行供应商禁用/退出期内</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2.7经营范围经国家行政管理部门依法批准，同时获得从事行业有效执业证明、行政许可、专业资质等证照</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418"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2.8两年内目标服务领域未出现严重安全事件</w:t>
            </w:r>
          </w:p>
        </w:tc>
        <w:tc>
          <w:tcPr>
            <w:tcW w:w="545"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036"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10"/>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i w:val="0"/>
                <w:iCs w:val="0"/>
                <w:sz w:val="28"/>
                <w:szCs w:val="28"/>
                <w:lang w:val="en-US" w:eastAsia="zh-CN"/>
              </w:rPr>
              <w:t>央企</w:t>
            </w:r>
            <w:r>
              <w:rPr>
                <w:rFonts w:hint="eastAsia" w:ascii="仿宋" w:hAnsi="仿宋" w:eastAsia="仿宋" w:cs="仿宋"/>
                <w:i w:val="0"/>
                <w:iCs w:val="0"/>
                <w:sz w:val="28"/>
                <w:szCs w:val="28"/>
              </w:rPr>
              <w:t>/</w:t>
            </w:r>
            <w:r>
              <w:rPr>
                <w:rFonts w:hint="eastAsia" w:ascii="仿宋" w:hAnsi="仿宋" w:eastAsia="仿宋" w:cs="仿宋"/>
                <w:i w:val="0"/>
                <w:iCs w:val="0"/>
                <w:sz w:val="28"/>
                <w:szCs w:val="28"/>
                <w:lang w:val="en-US" w:eastAsia="zh-CN"/>
              </w:rPr>
              <w:t>国有控股企业/国有参股企业/国有企业/外资企业</w:t>
            </w:r>
            <w:r>
              <w:rPr>
                <w:rFonts w:hint="eastAsia" w:ascii="仿宋" w:hAnsi="仿宋" w:eastAsia="仿宋" w:cs="仿宋"/>
                <w:i w:val="0"/>
                <w:iCs w:val="0"/>
                <w:sz w:val="28"/>
                <w:szCs w:val="28"/>
              </w:rPr>
              <w:t>/</w:t>
            </w:r>
            <w:r>
              <w:rPr>
                <w:rFonts w:hint="eastAsia" w:ascii="仿宋" w:hAnsi="仿宋" w:eastAsia="仿宋" w:cs="仿宋"/>
                <w:i w:val="0"/>
                <w:iCs w:val="0"/>
                <w:sz w:val="28"/>
                <w:szCs w:val="28"/>
                <w:lang w:val="en-US" w:eastAsia="zh-CN"/>
              </w:rPr>
              <w:t>港资企业/台资企业/民营</w:t>
            </w:r>
            <w:r>
              <w:rPr>
                <w:rFonts w:hint="eastAsia" w:ascii="仿宋" w:hAnsi="仿宋" w:eastAsia="仿宋" w:cs="仿宋"/>
                <w:i w:val="0"/>
                <w:iCs w:val="0"/>
                <w:sz w:val="28"/>
                <w:szCs w:val="28"/>
              </w:rPr>
              <w:t>企业/中外合资企业/</w:t>
            </w:r>
            <w:r>
              <w:rPr>
                <w:rFonts w:hint="eastAsia" w:ascii="仿宋" w:hAnsi="仿宋" w:eastAsia="仿宋" w:cs="仿宋"/>
                <w:i w:val="0"/>
                <w:iCs w:val="0"/>
                <w:sz w:val="28"/>
                <w:szCs w:val="28"/>
                <w:lang w:val="en-US" w:eastAsia="zh-CN"/>
              </w:rPr>
              <w:t>境外企业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12"/>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5.近三年（2022</w:t>
      </w:r>
      <w:bookmarkStart w:id="1" w:name="_GoBack"/>
      <w:bookmarkEnd w:id="1"/>
      <w:r>
        <w:rPr>
          <w:rFonts w:hint="eastAsia" w:ascii="仿宋" w:hAnsi="仿宋" w:eastAsia="仿宋" w:cs="仿宋"/>
          <w:color w:val="000000" w:themeColor="text1"/>
          <w:sz w:val="32"/>
          <w:szCs w:val="32"/>
          <w:highlight w:val="none"/>
          <w:lang w:val="en-US" w:eastAsia="zh-CN"/>
          <w14:textFill>
            <w14:solidFill>
              <w14:schemeClr w14:val="tx1"/>
            </w14:solidFill>
          </w14:textFill>
        </w:rPr>
        <w:t>-2024年）经审计的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9"/>
        <w:rPr>
          <w:rFonts w:hint="eastAsia" w:ascii="仿宋" w:hAnsi="仿宋" w:eastAsia="仿宋" w:cs="仿宋"/>
          <w:b/>
          <w:bCs/>
          <w:color w:val="FF0000"/>
          <w:sz w:val="32"/>
          <w:szCs w:val="32"/>
          <w:highlight w:val="yellow"/>
        </w:rPr>
      </w:pPr>
      <w:r>
        <w:rPr>
          <w:rFonts w:hint="eastAsia" w:ascii="仿宋" w:hAnsi="仿宋" w:eastAsia="仿宋" w:cs="仿宋"/>
          <w:b w:val="0"/>
          <w:bCs w:val="0"/>
          <w:sz w:val="32"/>
          <w:szCs w:val="32"/>
        </w:rPr>
        <w:t>《兴业银行成都分行信用卡存量客户促活项目》相关案例情况：</w:t>
      </w:r>
      <w:r>
        <w:rPr>
          <w:rFonts w:hint="eastAsia" w:ascii="仿宋" w:hAnsi="仿宋" w:eastAsia="仿宋" w:cs="仿宋"/>
          <w:sz w:val="32"/>
          <w:szCs w:val="32"/>
          <w:highlight w:val="none"/>
        </w:rPr>
        <w:t>提供不少于4个</w:t>
      </w:r>
      <w:r>
        <w:rPr>
          <w:rFonts w:hint="eastAsia" w:ascii="仿宋" w:hAnsi="仿宋" w:eastAsia="仿宋" w:cs="仿宋"/>
          <w:color w:val="0000FF"/>
          <w:sz w:val="32"/>
          <w:szCs w:val="32"/>
          <w:highlight w:val="none"/>
        </w:rPr>
        <w:t>202</w:t>
      </w:r>
      <w:r>
        <w:rPr>
          <w:rFonts w:hint="eastAsia" w:ascii="仿宋" w:hAnsi="仿宋" w:eastAsia="仿宋" w:cs="仿宋"/>
          <w:color w:val="0000FF"/>
          <w:sz w:val="32"/>
          <w:szCs w:val="32"/>
          <w:highlight w:val="none"/>
          <w:lang w:val="en-US" w:eastAsia="zh-CN"/>
        </w:rPr>
        <w:t>2</w:t>
      </w:r>
      <w:r>
        <w:rPr>
          <w:rFonts w:hint="eastAsia" w:ascii="仿宋" w:hAnsi="仿宋" w:eastAsia="仿宋" w:cs="仿宋"/>
          <w:sz w:val="32"/>
          <w:szCs w:val="32"/>
          <w:highlight w:val="none"/>
        </w:rPr>
        <w:t>年至今和20家国内系统重要性银行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工行、中行、建行、农行、交行、邮储</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招商、兴业、中信、浦发、光大、民生、平安、华夏、广发、宁波、江苏、上海、北京、南京</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合作开展的</w:t>
      </w:r>
      <w:r>
        <w:rPr>
          <w:rFonts w:hint="eastAsia" w:ascii="仿宋" w:hAnsi="仿宋" w:eastAsia="仿宋" w:cs="仿宋"/>
          <w:sz w:val="32"/>
          <w:szCs w:val="32"/>
          <w:highlight w:val="none"/>
        </w:rPr>
        <w:t>与本项目相似成功案例</w:t>
      </w:r>
      <w:r>
        <w:rPr>
          <w:rFonts w:hint="eastAsia" w:ascii="仿宋" w:hAnsi="仿宋" w:eastAsia="仿宋" w:cs="仿宋"/>
          <w:sz w:val="32"/>
          <w:szCs w:val="32"/>
          <w:highlight w:val="none"/>
          <w:lang w:eastAsia="zh-CN"/>
        </w:rPr>
        <w:t>。</w:t>
      </w:r>
      <w:r>
        <w:rPr>
          <w:rFonts w:hint="eastAsia" w:ascii="仿宋" w:hAnsi="仿宋" w:eastAsia="仿宋" w:cs="仿宋"/>
          <w:color w:val="0000FF"/>
          <w:sz w:val="32"/>
          <w:szCs w:val="32"/>
          <w:highlight w:val="none"/>
          <w:lang w:eastAsia="zh-CN"/>
        </w:rPr>
        <w:t>（</w:t>
      </w:r>
      <w:r>
        <w:rPr>
          <w:rFonts w:hint="eastAsia" w:ascii="仿宋" w:hAnsi="仿宋" w:eastAsia="仿宋" w:cs="仿宋"/>
          <w:b/>
          <w:bCs/>
          <w:color w:val="0000FF"/>
          <w:sz w:val="32"/>
          <w:szCs w:val="32"/>
          <w:highlight w:val="none"/>
          <w:lang w:val="en-US" w:eastAsia="zh-CN"/>
        </w:rPr>
        <w:t>须</w:t>
      </w:r>
      <w:r>
        <w:rPr>
          <w:rFonts w:hint="eastAsia" w:ascii="仿宋" w:hAnsi="仿宋" w:eastAsia="仿宋" w:cs="仿宋"/>
          <w:b/>
          <w:bCs/>
          <w:color w:val="0000FF"/>
          <w:sz w:val="32"/>
          <w:szCs w:val="32"/>
          <w:highlight w:val="none"/>
        </w:rPr>
        <w:t>提供</w:t>
      </w:r>
      <w:r>
        <w:rPr>
          <w:rFonts w:hint="eastAsia" w:ascii="仿宋" w:hAnsi="仿宋" w:eastAsia="仿宋" w:cs="仿宋"/>
          <w:b/>
          <w:bCs/>
          <w:color w:val="0000FF"/>
          <w:sz w:val="32"/>
          <w:szCs w:val="32"/>
          <w:highlight w:val="none"/>
          <w:lang w:val="en-US" w:eastAsia="zh-CN"/>
        </w:rPr>
        <w:t>有效合同佐证材料）</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与本项目相关的合同关键页未提供，统一认定为无效案例，如公告有对关键内容需要，须标示）。材料详见如下：</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default" w:ascii="仿宋" w:hAnsi="仿宋" w:eastAsia="仿宋" w:cs="仿宋"/>
                <w:b/>
                <w:bCs/>
                <w:i w:val="0"/>
                <w:iCs w:val="0"/>
                <w:color w:val="000000"/>
                <w:sz w:val="28"/>
                <w:szCs w:val="28"/>
                <w:u w:val="none"/>
                <w:lang w:val="en-US"/>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与兴业银行合作情况（相关情况无需提供合同证明材料）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pPr>
        <w:pStyle w:val="2"/>
        <w:ind w:left="0" w:leftChars="0" w:firstLine="0" w:firstLineChars="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0C17B45"/>
    <w:rsid w:val="05E90989"/>
    <w:rsid w:val="074B0DF6"/>
    <w:rsid w:val="080676D1"/>
    <w:rsid w:val="0C787AEA"/>
    <w:rsid w:val="0DED7F9F"/>
    <w:rsid w:val="0F571DEB"/>
    <w:rsid w:val="11161E90"/>
    <w:rsid w:val="12D3458F"/>
    <w:rsid w:val="1369760A"/>
    <w:rsid w:val="13DD0D7A"/>
    <w:rsid w:val="16761996"/>
    <w:rsid w:val="1BC71F34"/>
    <w:rsid w:val="1C556C05"/>
    <w:rsid w:val="1D774801"/>
    <w:rsid w:val="221F4A47"/>
    <w:rsid w:val="233C4EB8"/>
    <w:rsid w:val="31194100"/>
    <w:rsid w:val="31A14391"/>
    <w:rsid w:val="364F2D17"/>
    <w:rsid w:val="365B1D40"/>
    <w:rsid w:val="36957939"/>
    <w:rsid w:val="3ABC0EB9"/>
    <w:rsid w:val="3ACD1C57"/>
    <w:rsid w:val="43384792"/>
    <w:rsid w:val="43851E88"/>
    <w:rsid w:val="43AA4F5F"/>
    <w:rsid w:val="467378B5"/>
    <w:rsid w:val="4A32674D"/>
    <w:rsid w:val="503B1E49"/>
    <w:rsid w:val="52370FF1"/>
    <w:rsid w:val="553431FA"/>
    <w:rsid w:val="572729AA"/>
    <w:rsid w:val="5966279D"/>
    <w:rsid w:val="5DAB6DF8"/>
    <w:rsid w:val="5ED6232D"/>
    <w:rsid w:val="640A17C4"/>
    <w:rsid w:val="662A6846"/>
    <w:rsid w:val="6D6514C5"/>
    <w:rsid w:val="74CA7525"/>
    <w:rsid w:val="76B02117"/>
    <w:rsid w:val="77EE4AA3"/>
    <w:rsid w:val="79286E08"/>
    <w:rsid w:val="79330017"/>
    <w:rsid w:val="7D6A333A"/>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HTML Preformatted"/>
    <w:basedOn w:val="1"/>
    <w:semiHidden/>
    <w:qFormat/>
    <w:uiPriority w:val="0"/>
    <w:pPr>
      <w:topLinePunct w:val="0"/>
    </w:pPr>
    <w:rPr>
      <w:rFonts w:ascii="Courier New" w:hAnsi="Courier New" w:cs="Courier New"/>
      <w:sz w:val="20"/>
      <w:szCs w:val="20"/>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正文首行缩进 21"/>
    <w:basedOn w:val="13"/>
    <w:qFormat/>
    <w:uiPriority w:val="0"/>
    <w:pPr>
      <w:widowControl/>
      <w:ind w:firstLine="420"/>
    </w:pPr>
    <w:rPr>
      <w:szCs w:val="20"/>
    </w:rPr>
  </w:style>
  <w:style w:type="paragraph" w:customStyle="1" w:styleId="13">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25</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周帝航</cp:lastModifiedBy>
  <dcterms:modified xsi:type="dcterms:W3CDTF">2025-07-17T06:55:50Z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