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72C8">
      <w:pPr>
        <w:pStyle w:val="3"/>
        <w:keepNext w:val="0"/>
        <w:keepLines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t>采购项目技术、服务及其他商务要求</w:t>
      </w:r>
      <w:bookmarkStart w:id="0" w:name="bookmark131"/>
      <w:bookmarkEnd w:id="0"/>
    </w:p>
    <w:p w14:paraId="0F4D82EF">
      <w:pPr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一、项目概况：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广元市利州区盘龙镇卫生院医疗设施设备采购项目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 w14:paraId="4883979C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4"/>
        </w:rPr>
        <w:t>二、技术参数及配置：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tbl>
      <w:tblPr>
        <w:tblStyle w:val="5"/>
        <w:tblW w:w="87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4644"/>
        <w:gridCol w:w="743"/>
        <w:gridCol w:w="743"/>
        <w:gridCol w:w="743"/>
      </w:tblGrid>
      <w:tr w14:paraId="00B5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6BF1B5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5A8A29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产品名称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ECAEA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技术参数及要求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74C09E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0C1D83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8FC14EE">
            <w:pPr>
              <w:pStyle w:val="4"/>
              <w:shd w:val="clear" w:color="auto" w:fill="FFFFFF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2A1B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72776B">
            <w:pPr>
              <w:pStyle w:val="4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640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便携式心电图机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355226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ECG输入通道：标准12导联心电信息同步采集；</w:t>
            </w:r>
          </w:p>
          <w:p w14:paraId="2EA736B4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频率响应：0.01-500Hz；</w:t>
            </w:r>
          </w:p>
          <w:p w14:paraId="7570446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耐极化电压：±900mV；</w:t>
            </w:r>
          </w:p>
          <w:p w14:paraId="4A6D3BCF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输入阻抗：≥100MΩ；</w:t>
            </w:r>
          </w:p>
          <w:p w14:paraId="2208890D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采样率：每个导联64000Hz；</w:t>
            </w:r>
          </w:p>
          <w:p w14:paraId="48BB1AF8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共模抑制比：≥140dB；</w:t>
            </w:r>
          </w:p>
          <w:p w14:paraId="755C5BE7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A/D转换：24bit；</w:t>
            </w:r>
          </w:p>
          <w:p w14:paraId="1F5DF2D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基漂滤波0.05Hz/0.32Hz/0.67Hz；</w:t>
            </w:r>
          </w:p>
          <w:p w14:paraId="282D78B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灵敏度选择：2.5、5、10、20、10/5mm/mV、自动（AGC）；</w:t>
            </w:r>
          </w:p>
          <w:p w14:paraId="7EDE8B9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设备内置存储器，存储病历800例；</w:t>
            </w:r>
          </w:p>
          <w:p w14:paraId="634FA2F1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11.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7.0英寸彩色高清液晶显示屏；</w:t>
            </w:r>
          </w:p>
          <w:p w14:paraId="14FCF0D1">
            <w:pPr>
              <w:widowControl/>
              <w:numPr>
                <w:ilvl w:val="0"/>
                <w:numId w:val="2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标配内置热敏式点阵打印机；</w:t>
            </w:r>
          </w:p>
          <w:p w14:paraId="65D8FB60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热敏打印机记录通道：3×4、3×4+1R、3×4+3R、6×2、6×2+1R、12×1；</w:t>
            </w:r>
          </w:p>
          <w:p w14:paraId="53FE5594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记录纸规格：支持卷纸和折叠纸两种规格，210mm；</w:t>
            </w:r>
          </w:p>
          <w:p w14:paraId="70FDB3F0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打印方式：实时同步或连续12道心电波形，分段打印；</w:t>
            </w:r>
          </w:p>
          <w:p w14:paraId="3B7E1F10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自动模式下可以支持10-60s时间的采集，记录，存储，传输；</w:t>
            </w:r>
          </w:p>
          <w:p w14:paraId="712E675C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具有性别、年龄组快速切换键，减少医生手工输入，提高工作效率；</w:t>
            </w:r>
          </w:p>
          <w:p w14:paraId="59B7619B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★18.可直接外接USB打印机，通过A4纸打印12道心电波形和报告；</w:t>
            </w:r>
          </w:p>
          <w:p w14:paraId="354F527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★19.支持一维码，二维码条码扫描仪，支持支持社保卡阅读器和身份证阅读器，可对病人信息进行快速输入，减少医生工作；</w:t>
            </w:r>
          </w:p>
          <w:p w14:paraId="6468DCC1">
            <w:pPr>
              <w:widowControl/>
              <w:numPr>
                <w:ilvl w:val="0"/>
                <w:numId w:val="3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具有导联脱落指示，具有信号检测功能，对于信号质量不佳的导联做出指示，保证波形采集的质量；</w:t>
            </w:r>
          </w:p>
          <w:p w14:paraId="11BC17DE"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内置可充电锂离子电池，充足后可正常工作时间4小时以上。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84F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1A5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0360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BD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9BEE98">
            <w:pPr>
              <w:pStyle w:val="4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A39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空气消毒机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0DFCBC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移动式，外观尺寸：340×430×970mm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5D3E556">
            <w:pPr>
              <w:widowControl/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适用体积：≤100m³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34BD210">
            <w:pPr>
              <w:widowControl/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循环消毒风量：≥1000m³/h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D7B1008">
            <w:pPr>
              <w:widowControl/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采用1至13000V可调高压静电场吸附除尘、杀菌、消毒、除异味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等离子体发生器和等离子体机芯使用寿命≥30000小时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7E2A52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等离子体密度值为1.28×10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superscript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～6.36×10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superscript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m³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379509E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细菌总量≤108cfu/m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4F89351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消毒时空气中臭氧浓度：≤0.04mg/m³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4186266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负离子发生量：≥2.15×10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superscript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个/cm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53870D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对空气中自然菌的杀灭率≥91.98%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6B97FE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对空气中白葡萄球菌杀灭率≥99.98%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F7BE87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额定电压：AC 220V±22V，消毒功率：≤140W，额定频率：50Hz±1Hz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25EDFB6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噪音：≤60dB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0C0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626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D854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3C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8FEB19">
            <w:pPr>
              <w:pStyle w:val="4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BFD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排痰机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118CF9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产品通过ISO9001和ISO13485质量管理体系双认证（提供权威机构证书）；整机通过电磁兼容（EMC）检测(权威机构检测报告)；</w:t>
            </w:r>
          </w:p>
          <w:p w14:paraId="21D9ABFA">
            <w:pPr>
              <w:widowControl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全智能液晶触摸彩色大屏幕，中文菜单，显示实时频率、压力等级、定时剩余时间、运行模式、实时频率变化曲线；</w:t>
            </w:r>
          </w:p>
          <w:p w14:paraId="2E5ADDF3">
            <w:pPr>
              <w:widowControl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气流振动频率：5-20HZ，连续可调，步距1Hz；</w:t>
            </w:r>
          </w:p>
          <w:p w14:paraId="36F09130">
            <w:pPr>
              <w:widowControl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压力等级：1-30级，连续可调；</w:t>
            </w:r>
          </w:p>
          <w:p w14:paraId="5EBCD820">
            <w:pPr>
              <w:widowControl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定时范围：1min-99min；</w:t>
            </w:r>
          </w:p>
          <w:p w14:paraId="5183D96E">
            <w:pPr>
              <w:widowControl/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触摸屏操作和按键操作方式可任意选择，满足不同人员操作需求；</w:t>
            </w:r>
          </w:p>
          <w:p w14:paraId="0C42CAC0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具备一种手动模式、八种自动模式和两种自定义模式；自定义模式可自由编辑运行参数并储存，可每10秒编辑一种振动频率；(提供操作说明，曲线变化图)；</w:t>
            </w:r>
          </w:p>
          <w:p w14:paraId="42420DA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手动模式具备运行调节频率、压力和锁定功能；</w:t>
            </w:r>
          </w:p>
          <w:p w14:paraId="7DA0EDB6">
            <w:pPr>
              <w:widowControl/>
              <w:numPr>
                <w:ilvl w:val="0"/>
                <w:numId w:val="6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具备线控器：控制手柄可中断、暂停、启动振动排痰机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3C3D7688">
            <w:pPr>
              <w:widowControl/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运行数据可长期存储查看，存储周期可调；</w:t>
            </w:r>
          </w:p>
          <w:p w14:paraId="76E6FF4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★11.具备咳嗽暂停功能；</w:t>
            </w:r>
          </w:p>
          <w:p w14:paraId="2AE6E2AB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12.背心由外套、气囊、内衬三部分组成，可以拆卸进行清洗和消毒。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53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042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FE10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0C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AD23E">
            <w:pPr>
              <w:pStyle w:val="4"/>
              <w:shd w:val="clear" w:color="auto" w:fill="FFFFFF"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229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中频治疗仪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D76670">
            <w:pPr>
              <w:numPr>
                <w:ilvl w:val="0"/>
                <w:numId w:val="7"/>
              </w:num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大屏幕中文液晶显示，大容量内存，在菜单内可查询禁忌症，适应症参考，同步/异步转换功能； 并可同时实时动态显示两路通道输出的治疗波形、治疗剂量、治疗处方、治疗时间，各种治疗数据一目了然；</w:t>
            </w:r>
          </w:p>
          <w:p w14:paraId="16E303B9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双通道输出方式：可同步或异步输出,含两组中频电疗法，含一组干扰电疗法；</w:t>
            </w:r>
          </w:p>
          <w:p w14:paraId="557AD0B0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内存99处方： 低频调制中频电流疗法、离子导入、正弦调制电流疗法、脉冲调制电流疗法、等幅中频电流疗法、干扰电流疗法；</w:t>
            </w:r>
          </w:p>
          <w:p w14:paraId="0FCB3971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主要临床适用范围：颈椎病、肩周炎、腰椎间盘突出的康复理疗（注册证为准）；</w:t>
            </w:r>
          </w:p>
          <w:p w14:paraId="5F7C77B5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工作电压：交流220V±10%；50Hz±1Hz；</w:t>
            </w:r>
          </w:p>
          <w:p w14:paraId="077A7FCF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功率：90VA；</w:t>
            </w:r>
          </w:p>
          <w:p w14:paraId="17CBE44A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电疗仪输出信号的工作频率范围为：2KHz～10KHz，其允差为±10%；</w:t>
            </w:r>
          </w:p>
          <w:p w14:paraId="3D0591ED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电疗仪在不同负载下的输出电流变化率应不大于10%；</w:t>
            </w:r>
          </w:p>
          <w:p w14:paraId="628F0893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电疗仪输出的调制频率范围为：0Hz～150Hz, 允差±10%；</w:t>
            </w:r>
          </w:p>
          <w:p w14:paraId="06FC9E86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电疗仪其干扰电差频频率应在0～200Hz范围内的单一频率或频段, 允差在±10%或1Hz取较大值；</w:t>
            </w:r>
          </w:p>
          <w:p w14:paraId="33298480">
            <w:pPr>
              <w:numPr>
                <w:ilvl w:val="0"/>
                <w:numId w:val="7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电疗仪其干扰电动态节律为4s～10s范围内，允差±10%；动态位移应不超过动态节律的±30%；</w:t>
            </w:r>
          </w:p>
          <w:p w14:paraId="1E9194A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12.电疗仪的调幅度为：0%、25%、50%、75%，100%，允差±5%；</w:t>
            </w:r>
          </w:p>
          <w:p w14:paraId="37E4248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13.电疗仪其干扰电差频变化周期为15s～30s，允差±10%；</w:t>
            </w:r>
          </w:p>
          <w:p w14:paraId="313D146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14.电疗仪输出的调制波形有九种，方波、尖波、三角波、锯齿波、指数波、正弦波、梯形波、扇形波和脉冲波及他们之间的组合，由程序设定；</w:t>
            </w:r>
          </w:p>
          <w:p w14:paraId="53B456A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15.电疗仪纯交流的波形，最大输出电流应不大于100mA，含直流分量时，输出电流不大于80mA；</w:t>
            </w:r>
          </w:p>
          <w:p w14:paraId="1F3AD39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16.电疗仪具有透热功能，六挡可调，其应用部分的最大发热温度应≤60℃；</w:t>
            </w:r>
          </w:p>
          <w:p w14:paraId="7C0CF22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17.输出方式：双向波（AC-中频电疗模式）及单向波（DC-离子导入模式）；</w:t>
            </w:r>
          </w:p>
          <w:p w14:paraId="7A1B487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18.通过ISO9001国际质量体系认证，ISO13485医疗器械国际质量体系认证。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32A9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F4CFB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C37A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312181A9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三、技术要求：</w:t>
      </w:r>
    </w:p>
    <w:p w14:paraId="393E3500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★1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供应商必须保证提供的货物(包括零部件等)是全新的、未使用过的，具有稳定性、可靠性、安全性，并完全符合国家、行业规定的质量、规格和性能要求等技术标准，凡磋商文件中未提及的设备配件、附件、安装材料、调试验收所需的附属配件及供应商应向采购人提供设备安装、维修所需的专用工具和仪器，并列出清单与价格，该价格包括在投标总价格中。</w:t>
      </w:r>
    </w:p>
    <w:p w14:paraId="1CC09AA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供应商应按采购文件规定的时间及质量要求交货，货物在送到使用单位时，且货物的表面无划伤、碰撞现象，设备运行正常。</w:t>
      </w:r>
    </w:p>
    <w:p w14:paraId="73039899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安装调试要求：</w:t>
      </w:r>
    </w:p>
    <w:p w14:paraId="46B4610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</w:rPr>
        <w:t>供应商负责设备安装、调试，直至采购人能正常使用，所需的一切材料、备件、专业工具均由成交供应商负责提供。</w:t>
      </w:r>
    </w:p>
    <w:p w14:paraId="44D2DD13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</w:rPr>
        <w:t>设备到达采购人生产现场后，供应商应在3日内到达现场组织安装、调试，达到正常运行要求，保证采购人正常使用。</w:t>
      </w:r>
    </w:p>
    <w:p w14:paraId="3856D1F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</w:rPr>
        <w:t>设备安装调试期间，供应商应服从采购人相关管理规章制度，不损坏采购人房屋建筑及设施设备，安装调试期间不妨碍采购人工作正常开展，保持现场清洁卫生，做到人走净场。</w:t>
      </w:r>
    </w:p>
    <w:p w14:paraId="138E44B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四、商务要求：</w:t>
      </w:r>
    </w:p>
    <w:p w14:paraId="597DA2E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交货期：签订合同后15日内完成交货和安装调试并通过采购人验收使用。</w:t>
      </w:r>
    </w:p>
    <w:p w14:paraId="53CDC693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 xml:space="preserve">交货地点: </w:t>
      </w:r>
      <w:r>
        <w:rPr>
          <w:rFonts w:hint="eastAsia" w:ascii="宋体" w:hAnsi="宋体" w:eastAsia="宋体" w:cs="宋体"/>
          <w:sz w:val="24"/>
          <w:lang w:eastAsia="zh-CN"/>
        </w:rPr>
        <w:t>广元市利州区盘龙镇卫生院</w:t>
      </w:r>
      <w:r>
        <w:rPr>
          <w:rFonts w:hint="eastAsia" w:ascii="宋体" w:hAnsi="宋体" w:eastAsia="宋体" w:cs="宋体"/>
          <w:sz w:val="24"/>
        </w:rPr>
        <w:t>。</w:t>
      </w:r>
    </w:p>
    <w:p w14:paraId="2B937149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支付方式：合同签订后预付合同金额40%，验收合格后成交供应商凭全额有效发票，采购人支付合同价款的55%，设备运行1年后（验收合格次日起计算）无任何质量问题三十日内采购人支付合同价款的5%。</w:t>
      </w:r>
    </w:p>
    <w:p w14:paraId="0A8B3895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验收：</w:t>
      </w:r>
    </w:p>
    <w:p w14:paraId="4A5E5639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4.1</w:t>
      </w:r>
      <w:r>
        <w:rPr>
          <w:rFonts w:hint="eastAsia" w:ascii="宋体" w:hAnsi="宋体" w:eastAsia="宋体" w:cs="宋体"/>
          <w:sz w:val="24"/>
        </w:rPr>
        <w:t>验收主体：</w:t>
      </w:r>
      <w:r>
        <w:rPr>
          <w:rFonts w:hint="eastAsia" w:ascii="宋体" w:hAnsi="宋体" w:eastAsia="宋体" w:cs="宋体"/>
          <w:sz w:val="24"/>
          <w:lang w:eastAsia="zh-CN"/>
        </w:rPr>
        <w:t>广元市利州区盘龙镇卫生院</w:t>
      </w:r>
      <w:r>
        <w:rPr>
          <w:rFonts w:hint="eastAsia" w:ascii="宋体" w:hAnsi="宋体" w:eastAsia="宋体" w:cs="宋体"/>
          <w:sz w:val="24"/>
        </w:rPr>
        <w:t>。</w:t>
      </w:r>
    </w:p>
    <w:p w14:paraId="5BB6C5D0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</w:rPr>
        <w:t>验收程序：采购人在收到成交供应商发出验收申请后3日内做出出面答复并完成验收。</w:t>
      </w:r>
    </w:p>
    <w:p w14:paraId="6CE39C67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4.3</w:t>
      </w:r>
      <w:r>
        <w:rPr>
          <w:rFonts w:hint="eastAsia" w:ascii="宋体" w:hAnsi="宋体" w:eastAsia="宋体" w:cs="宋体"/>
          <w:sz w:val="24"/>
        </w:rPr>
        <w:t>验收内容：本项目所涉及的货物参数配置、技术要求内容及形成的资料等。</w:t>
      </w:r>
    </w:p>
    <w:p w14:paraId="74D51F42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4.4</w:t>
      </w:r>
      <w:r>
        <w:rPr>
          <w:rFonts w:hint="eastAsia" w:ascii="宋体" w:hAnsi="宋体" w:eastAsia="宋体" w:cs="宋体"/>
          <w:sz w:val="24"/>
        </w:rPr>
        <w:t>验收标准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56321C45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★5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供应商的报价应包括货物成本、货物运输、人工、安装、调试、利润、税费等完成本项目所需的一切费用，采购人不再支付其他任何费用。</w:t>
      </w:r>
    </w:p>
    <w:p w14:paraId="0B3AF7E2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售后服务要求：</w:t>
      </w:r>
    </w:p>
    <w:p w14:paraId="741E5084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6.1</w:t>
      </w:r>
      <w:r>
        <w:rPr>
          <w:rFonts w:hint="eastAsia" w:ascii="宋体" w:hAnsi="宋体" w:eastAsia="宋体" w:cs="宋体"/>
          <w:bCs/>
          <w:sz w:val="24"/>
        </w:rPr>
        <w:t>本项目采购货物售后服务期限为1年，</w:t>
      </w:r>
      <w:r>
        <w:rPr>
          <w:rFonts w:hint="eastAsia" w:ascii="宋体" w:hAnsi="宋体" w:eastAsia="宋体" w:cs="宋体"/>
          <w:sz w:val="24"/>
        </w:rPr>
        <w:t>售后服务期限内货物出现质量问题，供应商承担修理调换的费用。</w:t>
      </w:r>
    </w:p>
    <w:p w14:paraId="572A784A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6.2</w:t>
      </w:r>
      <w:r>
        <w:rPr>
          <w:rFonts w:hint="eastAsia" w:ascii="宋体" w:hAnsi="宋体" w:eastAsia="宋体" w:cs="宋体"/>
          <w:sz w:val="24"/>
        </w:rPr>
        <w:t>供应商应提供7×24小时服务；在质量保证期内应当为采购人技术支持和服务，质保期过后终生有偿维护。</w:t>
      </w:r>
    </w:p>
    <w:p w14:paraId="40692F2F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6.3</w:t>
      </w:r>
      <w:r>
        <w:rPr>
          <w:rFonts w:hint="eastAsia" w:ascii="宋体" w:hAnsi="宋体" w:eastAsia="宋体" w:cs="宋体"/>
          <w:sz w:val="24"/>
        </w:rPr>
        <w:t>电话响应：采购人遇到使用及技术问题，供应商应为采购人提供技术支持电话或相关服务，解答采购人在使用中遇到的问题，1小时内为采购人提出解决问题的办法。</w:t>
      </w:r>
    </w:p>
    <w:p w14:paraId="1DBC3EB8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6.4</w:t>
      </w:r>
      <w:r>
        <w:rPr>
          <w:rFonts w:hint="eastAsia" w:ascii="宋体" w:hAnsi="宋体" w:eastAsia="宋体" w:cs="宋体"/>
          <w:sz w:val="24"/>
        </w:rPr>
        <w:t>现场响应：采购人遇到使用及技术问题，电话响应不能解决的，供应商应在8小时内派出专业人员进行技术支持并解决问题。如出现任何质量问题供应商须1小时响应，24小时内修复完成。若故障没有解决，72小时内提供备机服务，保证采购人正常使用，如需换货或返厂维修的，供应商须在7日内完成。</w:t>
      </w:r>
    </w:p>
    <w:p w14:paraId="195F19D0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6.5</w:t>
      </w:r>
      <w:r>
        <w:rPr>
          <w:rFonts w:hint="eastAsia" w:ascii="宋体" w:hAnsi="宋体" w:eastAsia="宋体" w:cs="宋体"/>
          <w:sz w:val="24"/>
        </w:rPr>
        <w:t>技术培训支持：供应商应根据本项目设备情况提供详细的设备使用、维护技术培训计划，培训时间、地点、参培人数等在合同中明确。</w:t>
      </w:r>
    </w:p>
    <w:p w14:paraId="6741CC29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2EE0FC3"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注：以上★项为本项目实质性要求，不允许负偏离，否则做无效投标处理。</w:t>
      </w:r>
    </w:p>
    <w:p w14:paraId="04B4205F">
      <w:pPr>
        <w:pStyle w:val="3"/>
        <w:keepNext w:val="0"/>
        <w:keepLines w:val="0"/>
        <w:rPr>
          <w:rFonts w:hint="eastAsia" w:ascii="宋体" w:hAnsi="宋体" w:eastAsia="宋体" w:cs="宋体"/>
        </w:rPr>
      </w:pPr>
    </w:p>
    <w:p w14:paraId="54C55CA3">
      <w:pPr>
        <w:pStyle w:val="3"/>
        <w:keepNext w:val="0"/>
        <w:keepLines w:val="0"/>
        <w:rPr>
          <w:rFonts w:hint="eastAsia" w:ascii="宋体" w:hAnsi="宋体" w:eastAsia="宋体" w:cs="宋体"/>
        </w:rPr>
      </w:pPr>
    </w:p>
    <w:p w14:paraId="427415F6">
      <w:pPr>
        <w:pStyle w:val="3"/>
        <w:keepNext w:val="0"/>
        <w:keepLines w:val="0"/>
        <w:rPr>
          <w:rFonts w:hint="eastAsia" w:ascii="宋体" w:hAnsi="宋体" w:eastAsia="宋体" w:cs="宋体"/>
        </w:rPr>
      </w:pPr>
    </w:p>
    <w:p w14:paraId="35904DEE">
      <w:pPr>
        <w:pStyle w:val="3"/>
        <w:keepNext w:val="0"/>
        <w:keepLines w:val="0"/>
        <w:rPr>
          <w:rFonts w:hint="eastAsia" w:ascii="宋体" w:hAnsi="宋体" w:eastAsia="宋体" w:cs="宋体"/>
        </w:rPr>
      </w:pPr>
    </w:p>
    <w:p w14:paraId="04FD94B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7C38E"/>
    <w:multiLevelType w:val="singleLevel"/>
    <w:tmpl w:val="A1A7C3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D2708A"/>
    <w:multiLevelType w:val="singleLevel"/>
    <w:tmpl w:val="B7D270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8AE848E"/>
    <w:multiLevelType w:val="singleLevel"/>
    <w:tmpl w:val="B8AE848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D191F54"/>
    <w:multiLevelType w:val="singleLevel"/>
    <w:tmpl w:val="CD191F54"/>
    <w:lvl w:ilvl="0" w:tentative="0">
      <w:start w:val="12"/>
      <w:numFmt w:val="decimal"/>
      <w:suff w:val="space"/>
      <w:lvlText w:val="%1."/>
      <w:lvlJc w:val="left"/>
    </w:lvl>
  </w:abstractNum>
  <w:abstractNum w:abstractNumId="4">
    <w:nsid w:val="D59163A3"/>
    <w:multiLevelType w:val="singleLevel"/>
    <w:tmpl w:val="D5916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C895E79"/>
    <w:multiLevelType w:val="singleLevel"/>
    <w:tmpl w:val="5C895E79"/>
    <w:lvl w:ilvl="0" w:tentative="0">
      <w:start w:val="20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6">
    <w:nsid w:val="70E9081E"/>
    <w:multiLevelType w:val="singleLevel"/>
    <w:tmpl w:val="70E908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2025-12-12T02:50:22Z</dcterms:created>
  <dc:creator>Administrator</dc:creator>
  <cp:lastModifiedBy>WPS_1658308997</cp:lastModifiedBy>
  <dcterms:modified xsi:type="dcterms:W3CDTF">2025-12-12T02:50:28Z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eyJoZGlkIjoiYzIxMDZmOGUxZDFkYjYwNjQxMTgyMWVkNTExYzJhYzAiLCJ1c2VySWQiOiIxMzk0MjczNDQ0In0=</vt:lpwstr>
  </property>
  <property fmtid="{D5CDD505-2E9C-101B-9397-08002B2CF9AE}" pid="4" name="ICV">
    <vt:lpwstr>2B4B1A6635384BB2B99F34FE3C87E515_12</vt:lpwstr>
  </property>
</Properties>
</file>