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FAD3E">
      <w:pPr>
        <w:spacing w:line="480" w:lineRule="auto"/>
        <w:ind w:firstLine="480" w:firstLineChars="200"/>
        <w:jc w:val="left"/>
        <w:rPr>
          <w:rFonts w:hint="eastAsia" w:ascii="宋体" w:hAnsi="宋体"/>
          <w:sz w:val="24"/>
        </w:rPr>
      </w:pPr>
      <w:bookmarkStart w:id="0" w:name="_Toc2567_WPSOffice_Level2"/>
      <w:bookmarkStart w:id="1" w:name="_Toc10667"/>
      <w:bookmarkStart w:id="2" w:name="_Toc17716"/>
      <w:bookmarkStart w:id="3" w:name="_Toc25039"/>
      <w:r>
        <w:rPr>
          <w:rFonts w:hint="eastAsia" w:ascii="宋体" w:hAnsi="宋体"/>
          <w:sz w:val="24"/>
        </w:rPr>
        <w:t>一、项目概况：</w:t>
      </w:r>
      <w:r>
        <w:rPr>
          <w:rFonts w:hint="eastAsia" w:ascii="宋体" w:hAnsi="宋体" w:cs="宋体"/>
          <w:sz w:val="24"/>
        </w:rPr>
        <w:t>广元市利州区水利局</w:t>
      </w:r>
      <w:r>
        <w:rPr>
          <w:rFonts w:hint="eastAsia" w:ascii="宋体" w:hAnsi="宋体"/>
          <w:sz w:val="24"/>
        </w:rPr>
        <w:t>为加强山洪灾害防治，采购一批山洪灾害防治设备。</w:t>
      </w:r>
    </w:p>
    <w:p w14:paraId="516352EF">
      <w:pPr>
        <w:spacing w:line="480" w:lineRule="auto"/>
        <w:ind w:firstLine="480" w:firstLineChars="200"/>
        <w:jc w:val="left"/>
        <w:rPr>
          <w:rFonts w:hint="eastAsia" w:ascii="宋体" w:hAnsi="宋体"/>
          <w:color w:val="000000"/>
          <w:sz w:val="28"/>
          <w:szCs w:val="28"/>
        </w:rPr>
      </w:pPr>
      <w:r>
        <w:rPr>
          <w:rFonts w:hint="eastAsia" w:ascii="宋体" w:hAnsi="宋体" w:cs="仿宋_GB2312"/>
          <w:kern w:val="0"/>
          <w:sz w:val="24"/>
        </w:rPr>
        <w:t>二、货物清单及配置：</w:t>
      </w:r>
      <w:r>
        <w:rPr>
          <w:rFonts w:hint="eastAsia" w:ascii="宋体" w:hAnsi="宋体"/>
          <w:sz w:val="28"/>
          <w:szCs w:val="28"/>
        </w:rPr>
        <w:t xml:space="preserve"> </w:t>
      </w:r>
    </w:p>
    <w:tbl>
      <w:tblPr>
        <w:tblStyle w:val="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928"/>
        <w:gridCol w:w="766"/>
        <w:gridCol w:w="693"/>
        <w:gridCol w:w="4535"/>
        <w:gridCol w:w="869"/>
      </w:tblGrid>
      <w:tr w14:paraId="7DCD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313" w:type="pct"/>
            <w:noWrap w:val="0"/>
            <w:vAlign w:val="center"/>
          </w:tcPr>
          <w:p w14:paraId="70925143">
            <w:pPr>
              <w:pStyle w:val="5"/>
              <w:spacing w:before="101" w:line="360" w:lineRule="auto"/>
              <w:jc w:val="center"/>
              <w:rPr>
                <w:rFonts w:hint="eastAsia" w:hAnsi="宋体" w:cs="宋体"/>
                <w:sz w:val="21"/>
                <w:szCs w:val="21"/>
              </w:rPr>
            </w:pPr>
            <w:r>
              <w:rPr>
                <w:rFonts w:hint="eastAsia" w:hAnsi="宋体" w:cs="宋体"/>
                <w:sz w:val="21"/>
                <w:szCs w:val="21"/>
              </w:rPr>
              <w:t>序号</w:t>
            </w:r>
          </w:p>
        </w:tc>
        <w:tc>
          <w:tcPr>
            <w:tcW w:w="558" w:type="pct"/>
            <w:noWrap w:val="0"/>
            <w:vAlign w:val="center"/>
          </w:tcPr>
          <w:p w14:paraId="0D844D74">
            <w:pPr>
              <w:pStyle w:val="5"/>
              <w:spacing w:before="102" w:line="360" w:lineRule="auto"/>
              <w:jc w:val="center"/>
              <w:rPr>
                <w:rFonts w:hint="eastAsia" w:hAnsi="宋体" w:cs="宋体"/>
                <w:sz w:val="21"/>
                <w:szCs w:val="21"/>
              </w:rPr>
            </w:pPr>
            <w:r>
              <w:rPr>
                <w:rFonts w:hint="eastAsia" w:hAnsi="宋体" w:cs="宋体"/>
                <w:sz w:val="21"/>
                <w:szCs w:val="21"/>
              </w:rPr>
              <w:t>货物名称</w:t>
            </w:r>
          </w:p>
        </w:tc>
        <w:tc>
          <w:tcPr>
            <w:tcW w:w="461" w:type="pct"/>
            <w:noWrap w:val="0"/>
            <w:vAlign w:val="center"/>
          </w:tcPr>
          <w:p w14:paraId="153D3BBA">
            <w:pPr>
              <w:pStyle w:val="5"/>
              <w:spacing w:before="102" w:line="360" w:lineRule="auto"/>
              <w:jc w:val="center"/>
              <w:rPr>
                <w:rFonts w:cs="仿宋_GB2312"/>
                <w:color w:val="000000"/>
                <w:sz w:val="21"/>
                <w:szCs w:val="21"/>
              </w:rPr>
            </w:pPr>
            <w:r>
              <w:rPr>
                <w:rFonts w:hint="eastAsia" w:cs="仿宋_GB2312"/>
                <w:color w:val="000000"/>
                <w:sz w:val="21"/>
                <w:szCs w:val="21"/>
              </w:rPr>
              <w:t>数量</w:t>
            </w:r>
          </w:p>
        </w:tc>
        <w:tc>
          <w:tcPr>
            <w:tcW w:w="417" w:type="pct"/>
            <w:noWrap w:val="0"/>
            <w:vAlign w:val="center"/>
          </w:tcPr>
          <w:p w14:paraId="6DE443D2">
            <w:pPr>
              <w:pStyle w:val="5"/>
              <w:spacing w:before="102" w:line="360" w:lineRule="auto"/>
              <w:jc w:val="center"/>
              <w:rPr>
                <w:rFonts w:cs="仿宋_GB2312"/>
                <w:color w:val="000000"/>
                <w:sz w:val="21"/>
                <w:szCs w:val="21"/>
              </w:rPr>
            </w:pPr>
            <w:r>
              <w:rPr>
                <w:rFonts w:hint="eastAsia" w:cs="仿宋_GB2312"/>
                <w:color w:val="000000"/>
                <w:sz w:val="21"/>
                <w:szCs w:val="21"/>
              </w:rPr>
              <w:t>单位</w:t>
            </w:r>
          </w:p>
        </w:tc>
        <w:tc>
          <w:tcPr>
            <w:tcW w:w="2728" w:type="pct"/>
            <w:noWrap w:val="0"/>
            <w:vAlign w:val="center"/>
          </w:tcPr>
          <w:p w14:paraId="6FF46C1A">
            <w:pPr>
              <w:pStyle w:val="5"/>
              <w:spacing w:before="102" w:line="360" w:lineRule="auto"/>
              <w:jc w:val="center"/>
              <w:rPr>
                <w:rFonts w:cs="仿宋_GB2312"/>
                <w:color w:val="000000"/>
                <w:sz w:val="21"/>
                <w:szCs w:val="21"/>
              </w:rPr>
            </w:pPr>
            <w:r>
              <w:rPr>
                <w:rFonts w:hint="eastAsia" w:cs="仿宋_GB2312"/>
                <w:color w:val="000000"/>
                <w:sz w:val="21"/>
                <w:szCs w:val="21"/>
              </w:rPr>
              <w:t>技术参数</w:t>
            </w:r>
          </w:p>
        </w:tc>
        <w:tc>
          <w:tcPr>
            <w:tcW w:w="523" w:type="pct"/>
            <w:noWrap w:val="0"/>
            <w:vAlign w:val="top"/>
          </w:tcPr>
          <w:p w14:paraId="089D73DE">
            <w:pPr>
              <w:pStyle w:val="5"/>
              <w:spacing w:before="102" w:line="360" w:lineRule="auto"/>
              <w:jc w:val="center"/>
              <w:rPr>
                <w:rFonts w:hint="eastAsia" w:cs="仿宋_GB2312"/>
                <w:color w:val="000000"/>
                <w:sz w:val="21"/>
                <w:szCs w:val="21"/>
              </w:rPr>
            </w:pPr>
            <w:r>
              <w:rPr>
                <w:rFonts w:hint="eastAsia" w:cs="仿宋_GB2312"/>
                <w:color w:val="000000"/>
                <w:sz w:val="21"/>
                <w:szCs w:val="21"/>
              </w:rPr>
              <w:t>备注</w:t>
            </w:r>
          </w:p>
        </w:tc>
      </w:tr>
      <w:tr w14:paraId="58F8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13" w:type="pct"/>
            <w:noWrap w:val="0"/>
            <w:vAlign w:val="center"/>
          </w:tcPr>
          <w:p w14:paraId="083BB597">
            <w:pPr>
              <w:pStyle w:val="5"/>
              <w:spacing w:before="101" w:line="360" w:lineRule="auto"/>
              <w:ind w:left="290"/>
              <w:jc w:val="both"/>
              <w:rPr>
                <w:rFonts w:hAnsi="宋体" w:cs="宋体"/>
                <w:spacing w:val="-13"/>
                <w:sz w:val="21"/>
                <w:szCs w:val="21"/>
              </w:rPr>
            </w:pPr>
            <w:r>
              <w:rPr>
                <w:rFonts w:hint="eastAsia"/>
                <w:spacing w:val="-13"/>
                <w:sz w:val="21"/>
                <w:szCs w:val="21"/>
              </w:rPr>
              <w:t>1</w:t>
            </w:r>
          </w:p>
        </w:tc>
        <w:tc>
          <w:tcPr>
            <w:tcW w:w="558" w:type="pct"/>
            <w:noWrap w:val="0"/>
            <w:vAlign w:val="center"/>
          </w:tcPr>
          <w:p w14:paraId="5282F7A1">
            <w:pPr>
              <w:pStyle w:val="5"/>
              <w:spacing w:before="102" w:line="360" w:lineRule="auto"/>
              <w:jc w:val="center"/>
              <w:rPr>
                <w:rFonts w:hAnsi="宋体" w:cs="宋体"/>
                <w:kern w:val="2"/>
                <w:sz w:val="21"/>
                <w:szCs w:val="21"/>
              </w:rPr>
            </w:pPr>
            <w:r>
              <w:rPr>
                <w:rFonts w:hAnsi="宋体" w:cs="宋体"/>
                <w:kern w:val="2"/>
                <w:sz w:val="21"/>
                <w:szCs w:val="21"/>
              </w:rPr>
              <w:t>雨量报警器</w:t>
            </w:r>
          </w:p>
        </w:tc>
        <w:tc>
          <w:tcPr>
            <w:tcW w:w="461" w:type="pct"/>
            <w:noWrap w:val="0"/>
            <w:vAlign w:val="center"/>
          </w:tcPr>
          <w:p w14:paraId="3D1F32D6">
            <w:pPr>
              <w:pStyle w:val="5"/>
              <w:spacing w:before="102" w:line="360" w:lineRule="auto"/>
              <w:jc w:val="center"/>
              <w:rPr>
                <w:rFonts w:hAnsi="宋体" w:cs="宋体"/>
                <w:kern w:val="2"/>
                <w:sz w:val="21"/>
                <w:szCs w:val="21"/>
              </w:rPr>
            </w:pPr>
            <w:r>
              <w:rPr>
                <w:rFonts w:hint="eastAsia" w:hAnsi="宋体" w:cs="宋体"/>
                <w:kern w:val="2"/>
                <w:sz w:val="21"/>
                <w:szCs w:val="21"/>
              </w:rPr>
              <w:t>4</w:t>
            </w:r>
          </w:p>
        </w:tc>
        <w:tc>
          <w:tcPr>
            <w:tcW w:w="417" w:type="pct"/>
            <w:noWrap w:val="0"/>
            <w:vAlign w:val="center"/>
          </w:tcPr>
          <w:p w14:paraId="4C59136B">
            <w:pPr>
              <w:pStyle w:val="5"/>
              <w:spacing w:before="102" w:line="360" w:lineRule="auto"/>
              <w:jc w:val="center"/>
              <w:rPr>
                <w:rFonts w:hAnsi="宋体" w:cs="宋体"/>
                <w:kern w:val="2"/>
                <w:sz w:val="21"/>
                <w:szCs w:val="21"/>
              </w:rPr>
            </w:pPr>
            <w:r>
              <w:rPr>
                <w:rFonts w:hAnsi="宋体" w:cs="宋体"/>
                <w:kern w:val="2"/>
                <w:sz w:val="21"/>
                <w:szCs w:val="21"/>
              </w:rPr>
              <w:t>台</w:t>
            </w:r>
          </w:p>
        </w:tc>
        <w:tc>
          <w:tcPr>
            <w:tcW w:w="2728" w:type="pct"/>
            <w:noWrap w:val="0"/>
            <w:vAlign w:val="center"/>
          </w:tcPr>
          <w:p w14:paraId="43623CB2">
            <w:pPr>
              <w:pStyle w:val="5"/>
              <w:spacing w:before="102" w:line="360" w:lineRule="auto"/>
              <w:rPr>
                <w:rFonts w:hint="eastAsia" w:hAnsi="宋体" w:cs="宋体"/>
                <w:kern w:val="2"/>
                <w:sz w:val="21"/>
                <w:szCs w:val="21"/>
              </w:rPr>
            </w:pPr>
            <w:r>
              <w:rPr>
                <w:rFonts w:hint="eastAsia" w:hAnsi="宋体"/>
                <w:bCs/>
                <w:color w:val="000000"/>
                <w:sz w:val="24"/>
              </w:rPr>
              <w:t>★</w:t>
            </w:r>
            <w:r>
              <w:rPr>
                <w:rFonts w:hAnsi="宋体" w:cs="宋体"/>
                <w:kern w:val="2"/>
                <w:sz w:val="21"/>
                <w:szCs w:val="21"/>
              </w:rPr>
              <w:t>1、采用一体化结构设计，主机集成了毫米波雷达水位计、高清摄像头、智能遥测终端、自组网模块、多频多模通信天线、充电控制器、蓄电池、太阳能电池板，采用集成一体式安装。</w:t>
            </w:r>
            <w:r>
              <w:rPr>
                <w:rFonts w:hAnsi="宋体" w:cs="宋体"/>
                <w:kern w:val="2"/>
                <w:sz w:val="21"/>
                <w:szCs w:val="21"/>
              </w:rPr>
              <w:br w:type="textWrapping"/>
            </w:r>
            <w:r>
              <w:rPr>
                <w:rFonts w:hint="eastAsia" w:hAnsi="宋体"/>
                <w:bCs/>
                <w:color w:val="000000"/>
                <w:sz w:val="24"/>
              </w:rPr>
              <w:t>★</w:t>
            </w:r>
            <w:r>
              <w:rPr>
                <w:rFonts w:hAnsi="宋体" w:cs="宋体"/>
                <w:kern w:val="2"/>
                <w:sz w:val="21"/>
                <w:szCs w:val="21"/>
              </w:rPr>
              <w:t>2、数据采集：具备水位采集、图像采集，具备陡涨陡落洪水跟踪算法，可跟踪洪峰;支持水位联动拍照上报。</w:t>
            </w:r>
            <w:r>
              <w:rPr>
                <w:rFonts w:hAnsi="宋体" w:cs="宋体"/>
                <w:kern w:val="2"/>
                <w:sz w:val="21"/>
                <w:szCs w:val="21"/>
              </w:rPr>
              <w:br w:type="textWrapping"/>
            </w:r>
            <w:r>
              <w:rPr>
                <w:rFonts w:hAnsi="宋体" w:cs="宋体"/>
                <w:kern w:val="2"/>
                <w:sz w:val="21"/>
                <w:szCs w:val="21"/>
              </w:rPr>
              <w:t>3、数据处理</w:t>
            </w:r>
            <w:r>
              <w:rPr>
                <w:rFonts w:hint="eastAsia" w:hAnsi="宋体" w:cs="宋体"/>
                <w:kern w:val="2"/>
                <w:sz w:val="21"/>
                <w:szCs w:val="21"/>
              </w:rPr>
              <w:t>：</w:t>
            </w:r>
            <w:r>
              <w:rPr>
                <w:rFonts w:hAnsi="宋体" w:cs="宋体"/>
                <w:kern w:val="2"/>
                <w:sz w:val="21"/>
                <w:szCs w:val="21"/>
              </w:rPr>
              <w:t>采用毫米波微带雷达连续调频测量水位，不受温度、气压、水汽和水中杂物的影响。</w:t>
            </w:r>
            <w:r>
              <w:rPr>
                <w:rFonts w:hAnsi="宋体" w:cs="宋体"/>
                <w:kern w:val="2"/>
                <w:sz w:val="21"/>
                <w:szCs w:val="21"/>
              </w:rPr>
              <w:br w:type="textWrapping"/>
            </w:r>
            <w:r>
              <w:rPr>
                <w:rFonts w:hAnsi="宋体" w:cs="宋体"/>
                <w:kern w:val="2"/>
                <w:sz w:val="21"/>
                <w:szCs w:val="21"/>
              </w:rPr>
              <w:t>4、边缘计算</w:t>
            </w:r>
            <w:r>
              <w:rPr>
                <w:rFonts w:hint="eastAsia" w:hAnsi="宋体" w:cs="宋体"/>
                <w:kern w:val="2"/>
                <w:sz w:val="21"/>
                <w:szCs w:val="21"/>
              </w:rPr>
              <w:t>：</w:t>
            </w:r>
            <w:r>
              <w:rPr>
                <w:rFonts w:hAnsi="宋体" w:cs="宋体"/>
                <w:kern w:val="2"/>
                <w:sz w:val="21"/>
                <w:szCs w:val="21"/>
              </w:rPr>
              <w:t>内置临界水位和上涨速率报警模型，具有注意安全、准备转移、立即转移三级报警。</w:t>
            </w:r>
          </w:p>
        </w:tc>
        <w:tc>
          <w:tcPr>
            <w:tcW w:w="523" w:type="pct"/>
            <w:noWrap w:val="0"/>
            <w:vAlign w:val="center"/>
          </w:tcPr>
          <w:p w14:paraId="7E1C74AC">
            <w:pPr>
              <w:pStyle w:val="5"/>
              <w:spacing w:before="102" w:line="360" w:lineRule="auto"/>
              <w:jc w:val="center"/>
              <w:rPr>
                <w:rFonts w:hint="eastAsia" w:cs="宋体"/>
                <w:kern w:val="2"/>
                <w:sz w:val="21"/>
                <w:szCs w:val="21"/>
              </w:rPr>
            </w:pPr>
          </w:p>
        </w:tc>
      </w:tr>
      <w:tr w14:paraId="3706F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13" w:type="pct"/>
            <w:noWrap w:val="0"/>
            <w:vAlign w:val="center"/>
          </w:tcPr>
          <w:p w14:paraId="0CB7DEEF">
            <w:pPr>
              <w:pStyle w:val="5"/>
              <w:spacing w:before="101" w:line="360" w:lineRule="auto"/>
              <w:ind w:left="290"/>
              <w:jc w:val="both"/>
              <w:rPr>
                <w:rFonts w:hint="eastAsia"/>
                <w:spacing w:val="-13"/>
                <w:sz w:val="21"/>
                <w:szCs w:val="21"/>
              </w:rPr>
            </w:pPr>
            <w:r>
              <w:rPr>
                <w:rFonts w:hint="eastAsia"/>
                <w:spacing w:val="-13"/>
                <w:sz w:val="21"/>
                <w:szCs w:val="21"/>
              </w:rPr>
              <w:t>2</w:t>
            </w:r>
          </w:p>
        </w:tc>
        <w:tc>
          <w:tcPr>
            <w:tcW w:w="558" w:type="pct"/>
            <w:noWrap w:val="0"/>
            <w:vAlign w:val="center"/>
          </w:tcPr>
          <w:p w14:paraId="5AE844A9">
            <w:pPr>
              <w:pStyle w:val="5"/>
              <w:spacing w:before="102" w:line="360" w:lineRule="auto"/>
              <w:jc w:val="center"/>
              <w:rPr>
                <w:rFonts w:hAnsi="宋体" w:cs="宋体"/>
                <w:kern w:val="2"/>
                <w:sz w:val="21"/>
                <w:szCs w:val="21"/>
              </w:rPr>
            </w:pPr>
            <w:r>
              <w:rPr>
                <w:rFonts w:hAnsi="宋体" w:cs="宋体"/>
                <w:kern w:val="2"/>
                <w:sz w:val="21"/>
                <w:szCs w:val="21"/>
              </w:rPr>
              <w:t>入户报警器</w:t>
            </w:r>
          </w:p>
        </w:tc>
        <w:tc>
          <w:tcPr>
            <w:tcW w:w="461" w:type="pct"/>
            <w:noWrap w:val="0"/>
            <w:vAlign w:val="center"/>
          </w:tcPr>
          <w:p w14:paraId="537EEC02">
            <w:pPr>
              <w:pStyle w:val="5"/>
              <w:spacing w:before="102" w:line="360" w:lineRule="auto"/>
              <w:jc w:val="center"/>
              <w:rPr>
                <w:rFonts w:hint="eastAsia" w:hAnsi="宋体" w:cs="宋体"/>
                <w:kern w:val="2"/>
                <w:sz w:val="21"/>
                <w:szCs w:val="21"/>
              </w:rPr>
            </w:pPr>
            <w:r>
              <w:rPr>
                <w:rFonts w:hint="eastAsia" w:hAnsi="宋体" w:cs="宋体"/>
                <w:kern w:val="2"/>
                <w:sz w:val="21"/>
                <w:szCs w:val="21"/>
              </w:rPr>
              <w:t>100</w:t>
            </w:r>
          </w:p>
        </w:tc>
        <w:tc>
          <w:tcPr>
            <w:tcW w:w="417" w:type="pct"/>
            <w:noWrap w:val="0"/>
            <w:vAlign w:val="center"/>
          </w:tcPr>
          <w:p w14:paraId="312783D2">
            <w:pPr>
              <w:pStyle w:val="5"/>
              <w:spacing w:before="102" w:line="360" w:lineRule="auto"/>
              <w:jc w:val="center"/>
              <w:rPr>
                <w:rFonts w:hAnsi="宋体" w:cs="宋体"/>
                <w:kern w:val="2"/>
                <w:sz w:val="21"/>
                <w:szCs w:val="21"/>
              </w:rPr>
            </w:pPr>
            <w:r>
              <w:rPr>
                <w:rFonts w:hAnsi="宋体" w:cs="宋体"/>
                <w:kern w:val="2"/>
                <w:sz w:val="21"/>
                <w:szCs w:val="21"/>
              </w:rPr>
              <w:t>台</w:t>
            </w:r>
          </w:p>
        </w:tc>
        <w:tc>
          <w:tcPr>
            <w:tcW w:w="2728" w:type="pct"/>
            <w:noWrap w:val="0"/>
            <w:vAlign w:val="center"/>
          </w:tcPr>
          <w:p w14:paraId="7E067ADD">
            <w:pPr>
              <w:pStyle w:val="5"/>
              <w:spacing w:before="102" w:line="360" w:lineRule="auto"/>
              <w:rPr>
                <w:rFonts w:hAnsi="宋体" w:cs="宋体"/>
                <w:kern w:val="2"/>
                <w:sz w:val="21"/>
                <w:szCs w:val="21"/>
              </w:rPr>
            </w:pPr>
            <w:r>
              <w:rPr>
                <w:rFonts w:hint="eastAsia" w:hAnsi="宋体"/>
                <w:bCs/>
                <w:color w:val="000000"/>
                <w:sz w:val="24"/>
              </w:rPr>
              <w:t>★</w:t>
            </w:r>
            <w:r>
              <w:rPr>
                <w:rFonts w:hAnsi="宋体" w:cs="宋体"/>
                <w:kern w:val="2"/>
                <w:sz w:val="21"/>
                <w:szCs w:val="21"/>
              </w:rPr>
              <w:t>1、工作模式</w:t>
            </w:r>
            <w:r>
              <w:rPr>
                <w:rFonts w:hint="eastAsia" w:hAnsi="宋体" w:cs="宋体"/>
                <w:kern w:val="2"/>
                <w:sz w:val="21"/>
                <w:szCs w:val="21"/>
              </w:rPr>
              <w:t>：</w:t>
            </w:r>
            <w:r>
              <w:rPr>
                <w:rFonts w:hAnsi="宋体" w:cs="宋体"/>
                <w:kern w:val="2"/>
                <w:sz w:val="21"/>
                <w:szCs w:val="21"/>
              </w:rPr>
              <w:t>具有提示、提醒、警戒三种工作模式，可根据风险态势智能灵敏切换声光效果。</w:t>
            </w:r>
            <w:r>
              <w:rPr>
                <w:rFonts w:hAnsi="宋体" w:cs="宋体"/>
                <w:kern w:val="2"/>
                <w:sz w:val="21"/>
                <w:szCs w:val="21"/>
              </w:rPr>
              <w:br w:type="textWrapping"/>
            </w:r>
            <w:r>
              <w:rPr>
                <w:rFonts w:hint="eastAsia" w:hAnsi="宋体"/>
                <w:bCs/>
                <w:color w:val="000000"/>
                <w:sz w:val="24"/>
              </w:rPr>
              <w:t>★</w:t>
            </w:r>
            <w:r>
              <w:rPr>
                <w:rFonts w:hAnsi="宋体" w:cs="宋体"/>
                <w:kern w:val="2"/>
                <w:sz w:val="21"/>
                <w:szCs w:val="21"/>
              </w:rPr>
              <w:t>2、声光报警</w:t>
            </w:r>
            <w:r>
              <w:rPr>
                <w:rFonts w:hint="eastAsia" w:hAnsi="宋体" w:cs="宋体"/>
                <w:kern w:val="2"/>
                <w:sz w:val="21"/>
                <w:szCs w:val="21"/>
              </w:rPr>
              <w:t>：</w:t>
            </w:r>
            <w:r>
              <w:rPr>
                <w:rFonts w:hAnsi="宋体" w:cs="宋体"/>
                <w:kern w:val="2"/>
                <w:sz w:val="21"/>
                <w:szCs w:val="21"/>
              </w:rPr>
              <w:t>内置扬声器和环形警灯，支持语音、警笛、闪光报警，各工作模式下对应不同的前奏提示音。</w:t>
            </w:r>
            <w:r>
              <w:rPr>
                <w:rFonts w:hAnsi="宋体" w:cs="宋体"/>
                <w:kern w:val="2"/>
                <w:sz w:val="21"/>
                <w:szCs w:val="21"/>
              </w:rPr>
              <w:br w:type="textWrapping"/>
            </w:r>
            <w:r>
              <w:rPr>
                <w:rFonts w:hAnsi="宋体" w:cs="宋体"/>
                <w:kern w:val="2"/>
                <w:sz w:val="21"/>
                <w:szCs w:val="21"/>
              </w:rPr>
              <w:t>3、智能预警</w:t>
            </w:r>
            <w:r>
              <w:rPr>
                <w:rFonts w:hint="eastAsia" w:hAnsi="宋体" w:cs="宋体"/>
                <w:kern w:val="2"/>
                <w:sz w:val="21"/>
                <w:szCs w:val="21"/>
              </w:rPr>
              <w:t>：</w:t>
            </w:r>
            <w:r>
              <w:rPr>
                <w:rFonts w:hAnsi="宋体" w:cs="宋体"/>
                <w:kern w:val="2"/>
                <w:sz w:val="21"/>
                <w:szCs w:val="21"/>
              </w:rPr>
              <w:t>内嵌多级智能叫应模型，支持微信、短信、电话多渠道靶向预警发布。</w:t>
            </w:r>
            <w:r>
              <w:rPr>
                <w:rFonts w:hAnsi="宋体" w:cs="宋体"/>
                <w:kern w:val="2"/>
                <w:sz w:val="21"/>
                <w:szCs w:val="21"/>
              </w:rPr>
              <w:br w:type="textWrapping"/>
            </w:r>
            <w:r>
              <w:rPr>
                <w:rFonts w:hAnsi="宋体" w:cs="宋体"/>
                <w:kern w:val="2"/>
                <w:sz w:val="21"/>
                <w:szCs w:val="21"/>
              </w:rPr>
              <w:t>4、一键应答</w:t>
            </w:r>
            <w:r>
              <w:rPr>
                <w:rFonts w:hint="eastAsia" w:hAnsi="宋体" w:cs="宋体"/>
                <w:kern w:val="2"/>
                <w:sz w:val="21"/>
                <w:szCs w:val="21"/>
              </w:rPr>
              <w:t>：</w:t>
            </w:r>
            <w:r>
              <w:rPr>
                <w:rFonts w:hAnsi="宋体" w:cs="宋体"/>
                <w:kern w:val="2"/>
                <w:sz w:val="21"/>
                <w:szCs w:val="21"/>
              </w:rPr>
              <w:t>具有报警、消警反馈叫应机制，支持一键报警确认和误报消除。</w:t>
            </w:r>
            <w:r>
              <w:rPr>
                <w:rFonts w:hAnsi="宋体" w:cs="宋体"/>
                <w:kern w:val="2"/>
                <w:sz w:val="21"/>
                <w:szCs w:val="21"/>
              </w:rPr>
              <w:br w:type="textWrapping"/>
            </w:r>
            <w:r>
              <w:rPr>
                <w:rFonts w:hAnsi="宋体" w:cs="宋体"/>
                <w:kern w:val="2"/>
                <w:sz w:val="21"/>
                <w:szCs w:val="21"/>
              </w:rPr>
              <w:t>5、语音喊话</w:t>
            </w:r>
            <w:r>
              <w:rPr>
                <w:rFonts w:hint="eastAsia" w:hAnsi="宋体" w:cs="宋体"/>
                <w:kern w:val="2"/>
                <w:sz w:val="21"/>
                <w:szCs w:val="21"/>
              </w:rPr>
              <w:t>：</w:t>
            </w:r>
            <w:r>
              <w:rPr>
                <w:rFonts w:hAnsi="宋体" w:cs="宋体"/>
                <w:kern w:val="2"/>
                <w:sz w:val="21"/>
                <w:szCs w:val="21"/>
              </w:rPr>
              <w:t>通过防汛呼叫器、手机 APP、小程序进行语音喊话发布语音消息。</w:t>
            </w:r>
            <w:r>
              <w:rPr>
                <w:rFonts w:hAnsi="宋体" w:cs="宋体"/>
                <w:kern w:val="2"/>
                <w:sz w:val="21"/>
                <w:szCs w:val="21"/>
              </w:rPr>
              <w:br w:type="textWrapping"/>
            </w:r>
            <w:r>
              <w:rPr>
                <w:rFonts w:hAnsi="宋体" w:cs="宋体"/>
                <w:kern w:val="2"/>
                <w:sz w:val="21"/>
                <w:szCs w:val="21"/>
              </w:rPr>
              <w:t>6、知识宣教</w:t>
            </w:r>
            <w:r>
              <w:rPr>
                <w:rFonts w:hint="eastAsia" w:hAnsi="宋体" w:cs="宋体"/>
                <w:kern w:val="2"/>
                <w:sz w:val="21"/>
                <w:szCs w:val="21"/>
              </w:rPr>
              <w:t>：</w:t>
            </w:r>
            <w:r>
              <w:rPr>
                <w:rFonts w:hAnsi="宋体" w:cs="宋体"/>
                <w:kern w:val="2"/>
                <w:sz w:val="21"/>
                <w:szCs w:val="21"/>
              </w:rPr>
              <w:t>支持远程防灾常识音频播放，可根据宣传要求设置为立即播放或定时播放。</w:t>
            </w:r>
          </w:p>
        </w:tc>
        <w:tc>
          <w:tcPr>
            <w:tcW w:w="523" w:type="pct"/>
            <w:noWrap w:val="0"/>
            <w:vAlign w:val="center"/>
          </w:tcPr>
          <w:p w14:paraId="1C4AA44C">
            <w:pPr>
              <w:pStyle w:val="5"/>
              <w:spacing w:before="102" w:line="360" w:lineRule="auto"/>
              <w:jc w:val="center"/>
              <w:rPr>
                <w:rFonts w:hint="eastAsia" w:cs="宋体"/>
                <w:kern w:val="2"/>
                <w:sz w:val="21"/>
                <w:szCs w:val="21"/>
              </w:rPr>
            </w:pPr>
          </w:p>
        </w:tc>
      </w:tr>
      <w:tr w14:paraId="353A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13" w:type="pct"/>
            <w:noWrap w:val="0"/>
            <w:vAlign w:val="center"/>
          </w:tcPr>
          <w:p w14:paraId="6BFAA37A">
            <w:pPr>
              <w:pStyle w:val="5"/>
              <w:spacing w:before="101" w:line="360" w:lineRule="auto"/>
              <w:ind w:left="290"/>
              <w:jc w:val="both"/>
              <w:rPr>
                <w:rFonts w:hint="eastAsia"/>
                <w:spacing w:val="-13"/>
                <w:sz w:val="21"/>
                <w:szCs w:val="21"/>
              </w:rPr>
            </w:pPr>
            <w:r>
              <w:rPr>
                <w:rFonts w:hint="eastAsia"/>
                <w:spacing w:val="-13"/>
                <w:sz w:val="21"/>
                <w:szCs w:val="21"/>
              </w:rPr>
              <w:t>3</w:t>
            </w:r>
          </w:p>
        </w:tc>
        <w:tc>
          <w:tcPr>
            <w:tcW w:w="558" w:type="pct"/>
            <w:noWrap w:val="0"/>
            <w:vAlign w:val="center"/>
          </w:tcPr>
          <w:p w14:paraId="3E1FF9F0">
            <w:pPr>
              <w:pStyle w:val="5"/>
              <w:spacing w:before="102" w:line="360" w:lineRule="auto"/>
              <w:jc w:val="center"/>
              <w:rPr>
                <w:rFonts w:hAnsi="宋体" w:cs="宋体"/>
                <w:kern w:val="2"/>
                <w:sz w:val="21"/>
                <w:szCs w:val="21"/>
              </w:rPr>
            </w:pPr>
            <w:r>
              <w:rPr>
                <w:rFonts w:hAnsi="宋体" w:cs="宋体"/>
                <w:kern w:val="2"/>
                <w:sz w:val="21"/>
                <w:szCs w:val="21"/>
              </w:rPr>
              <w:t>呼叫器</w:t>
            </w:r>
          </w:p>
        </w:tc>
        <w:tc>
          <w:tcPr>
            <w:tcW w:w="461" w:type="pct"/>
            <w:noWrap w:val="0"/>
            <w:vAlign w:val="center"/>
          </w:tcPr>
          <w:p w14:paraId="15DE1CAB">
            <w:pPr>
              <w:pStyle w:val="5"/>
              <w:spacing w:before="102" w:line="360" w:lineRule="auto"/>
              <w:jc w:val="center"/>
              <w:rPr>
                <w:rFonts w:hint="eastAsia" w:hAnsi="宋体" w:cs="宋体"/>
                <w:kern w:val="2"/>
                <w:sz w:val="21"/>
                <w:szCs w:val="21"/>
              </w:rPr>
            </w:pPr>
            <w:r>
              <w:rPr>
                <w:rFonts w:hint="eastAsia" w:hAnsi="宋体" w:cs="宋体"/>
                <w:kern w:val="2"/>
                <w:sz w:val="21"/>
                <w:szCs w:val="21"/>
              </w:rPr>
              <w:t>7</w:t>
            </w:r>
          </w:p>
        </w:tc>
        <w:tc>
          <w:tcPr>
            <w:tcW w:w="417" w:type="pct"/>
            <w:noWrap w:val="0"/>
            <w:vAlign w:val="center"/>
          </w:tcPr>
          <w:p w14:paraId="670A4AEB">
            <w:pPr>
              <w:pStyle w:val="5"/>
              <w:spacing w:before="102" w:line="360" w:lineRule="auto"/>
              <w:jc w:val="center"/>
              <w:rPr>
                <w:rFonts w:hAnsi="宋体" w:cs="宋体"/>
                <w:kern w:val="2"/>
                <w:sz w:val="21"/>
                <w:szCs w:val="21"/>
              </w:rPr>
            </w:pPr>
            <w:r>
              <w:rPr>
                <w:rFonts w:hAnsi="宋体" w:cs="宋体"/>
                <w:kern w:val="2"/>
                <w:sz w:val="21"/>
                <w:szCs w:val="21"/>
              </w:rPr>
              <w:t>台</w:t>
            </w:r>
          </w:p>
        </w:tc>
        <w:tc>
          <w:tcPr>
            <w:tcW w:w="2728" w:type="pct"/>
            <w:noWrap w:val="0"/>
            <w:vAlign w:val="center"/>
          </w:tcPr>
          <w:p w14:paraId="48A05A20">
            <w:pPr>
              <w:pStyle w:val="5"/>
              <w:spacing w:before="102" w:line="360" w:lineRule="auto"/>
              <w:rPr>
                <w:rFonts w:hAnsi="宋体" w:cs="宋体"/>
                <w:kern w:val="2"/>
                <w:sz w:val="21"/>
                <w:szCs w:val="21"/>
              </w:rPr>
            </w:pPr>
            <w:r>
              <w:rPr>
                <w:rFonts w:hint="eastAsia" w:hAnsi="宋体"/>
                <w:bCs/>
                <w:color w:val="000000"/>
                <w:sz w:val="24"/>
              </w:rPr>
              <w:t>★</w:t>
            </w:r>
            <w:r>
              <w:rPr>
                <w:rFonts w:hAnsi="宋体" w:cs="宋体"/>
                <w:kern w:val="2"/>
                <w:sz w:val="21"/>
                <w:szCs w:val="21"/>
              </w:rPr>
              <w:t>1、语音呼叫</w:t>
            </w:r>
            <w:r>
              <w:rPr>
                <w:rFonts w:hint="eastAsia" w:hAnsi="宋体" w:cs="宋体"/>
                <w:kern w:val="2"/>
                <w:sz w:val="21"/>
                <w:szCs w:val="21"/>
              </w:rPr>
              <w:t>：</w:t>
            </w:r>
            <w:r>
              <w:rPr>
                <w:rFonts w:hAnsi="宋体" w:cs="宋体"/>
                <w:kern w:val="2"/>
                <w:sz w:val="21"/>
                <w:szCs w:val="21"/>
              </w:rPr>
              <w:t>具有语音呼叫功能，支持以户为单位进行单呼和以组为单位进行组呼。</w:t>
            </w:r>
            <w:r>
              <w:rPr>
                <w:rFonts w:hAnsi="宋体" w:cs="宋体"/>
                <w:kern w:val="2"/>
                <w:sz w:val="21"/>
                <w:szCs w:val="21"/>
              </w:rPr>
              <w:br w:type="textWrapping"/>
            </w:r>
            <w:r>
              <w:rPr>
                <w:rFonts w:hAnsi="宋体" w:cs="宋体"/>
                <w:kern w:val="2"/>
                <w:sz w:val="21"/>
                <w:szCs w:val="21"/>
              </w:rPr>
              <w:t>2、组户管理</w:t>
            </w:r>
            <w:r>
              <w:rPr>
                <w:rFonts w:hint="eastAsia" w:hAnsi="宋体" w:cs="宋体"/>
                <w:kern w:val="2"/>
                <w:sz w:val="21"/>
                <w:szCs w:val="21"/>
              </w:rPr>
              <w:t>：</w:t>
            </w:r>
            <w:r>
              <w:rPr>
                <w:rFonts w:hAnsi="宋体" w:cs="宋体"/>
                <w:kern w:val="2"/>
                <w:sz w:val="21"/>
                <w:szCs w:val="21"/>
              </w:rPr>
              <w:t>具有组和户二级管理机制，可对接入的预警对象进行管理。</w:t>
            </w:r>
            <w:r>
              <w:rPr>
                <w:rFonts w:hAnsi="宋体" w:cs="宋体"/>
                <w:kern w:val="2"/>
                <w:sz w:val="21"/>
                <w:szCs w:val="21"/>
              </w:rPr>
              <w:br w:type="textWrapping"/>
            </w:r>
            <w:r>
              <w:rPr>
                <w:rFonts w:hAnsi="宋体" w:cs="宋体"/>
                <w:kern w:val="2"/>
                <w:sz w:val="21"/>
                <w:szCs w:val="21"/>
              </w:rPr>
              <w:t>3、叫应留痕</w:t>
            </w:r>
            <w:r>
              <w:rPr>
                <w:rFonts w:hint="eastAsia" w:hAnsi="宋体" w:cs="宋体"/>
                <w:kern w:val="2"/>
                <w:sz w:val="21"/>
                <w:szCs w:val="21"/>
              </w:rPr>
              <w:t>：</w:t>
            </w:r>
            <w:r>
              <w:rPr>
                <w:rFonts w:hAnsi="宋体" w:cs="宋体"/>
                <w:kern w:val="2"/>
                <w:sz w:val="21"/>
                <w:szCs w:val="21"/>
              </w:rPr>
              <w:t>对每一次叫应操作存储叫应时间、被叫对象、叫应状态信息。</w:t>
            </w:r>
            <w:r>
              <w:rPr>
                <w:rFonts w:hAnsi="宋体" w:cs="宋体"/>
                <w:kern w:val="2"/>
                <w:sz w:val="21"/>
                <w:szCs w:val="21"/>
              </w:rPr>
              <w:br w:type="textWrapping"/>
            </w:r>
            <w:r>
              <w:rPr>
                <w:rFonts w:hAnsi="宋体" w:cs="宋体"/>
                <w:kern w:val="2"/>
                <w:sz w:val="21"/>
                <w:szCs w:val="21"/>
              </w:rPr>
              <w:t>4、叫应管理</w:t>
            </w:r>
            <w:r>
              <w:rPr>
                <w:rFonts w:hint="eastAsia" w:hAnsi="宋体" w:cs="宋体"/>
                <w:kern w:val="2"/>
                <w:sz w:val="21"/>
                <w:szCs w:val="21"/>
              </w:rPr>
              <w:t>：</w:t>
            </w:r>
            <w:r>
              <w:rPr>
                <w:rFonts w:hAnsi="宋体" w:cs="宋体"/>
                <w:kern w:val="2"/>
                <w:sz w:val="21"/>
                <w:szCs w:val="21"/>
              </w:rPr>
              <w:t>可展示同组内的一呼百应户户通设备值守、报警、应答状态。</w:t>
            </w:r>
            <w:r>
              <w:rPr>
                <w:rFonts w:hAnsi="宋体" w:cs="宋体"/>
                <w:kern w:val="2"/>
                <w:sz w:val="21"/>
                <w:szCs w:val="21"/>
              </w:rPr>
              <w:br w:type="textWrapping"/>
            </w:r>
            <w:r>
              <w:rPr>
                <w:rFonts w:hAnsi="宋体" w:cs="宋体"/>
                <w:kern w:val="2"/>
                <w:sz w:val="21"/>
                <w:szCs w:val="21"/>
              </w:rPr>
              <w:t>5、呼叫监听</w:t>
            </w:r>
            <w:r>
              <w:rPr>
                <w:rFonts w:hint="eastAsia" w:hAnsi="宋体" w:cs="宋体"/>
                <w:kern w:val="2"/>
                <w:sz w:val="21"/>
                <w:szCs w:val="21"/>
              </w:rPr>
              <w:t>：</w:t>
            </w:r>
            <w:r>
              <w:rPr>
                <w:rFonts w:hAnsi="宋体" w:cs="宋体"/>
                <w:kern w:val="2"/>
                <w:sz w:val="21"/>
                <w:szCs w:val="21"/>
              </w:rPr>
              <w:t>具备监听喇叭可本地监听呼叫语音。</w:t>
            </w:r>
          </w:p>
        </w:tc>
        <w:tc>
          <w:tcPr>
            <w:tcW w:w="523" w:type="pct"/>
            <w:noWrap w:val="0"/>
            <w:vAlign w:val="center"/>
          </w:tcPr>
          <w:p w14:paraId="3BFC98FE">
            <w:pPr>
              <w:pStyle w:val="5"/>
              <w:spacing w:before="102" w:line="360" w:lineRule="auto"/>
              <w:jc w:val="center"/>
              <w:rPr>
                <w:rFonts w:hAnsi="宋体" w:cs="宋体"/>
                <w:kern w:val="2"/>
                <w:sz w:val="21"/>
                <w:szCs w:val="21"/>
              </w:rPr>
            </w:pPr>
          </w:p>
        </w:tc>
      </w:tr>
    </w:tbl>
    <w:p w14:paraId="4DD67375">
      <w:pPr>
        <w:spacing w:line="480" w:lineRule="auto"/>
        <w:ind w:firstLine="480" w:firstLineChars="200"/>
        <w:jc w:val="left"/>
        <w:rPr>
          <w:rFonts w:hint="eastAsia" w:ascii="宋体" w:hAnsi="宋体"/>
          <w:sz w:val="24"/>
        </w:rPr>
      </w:pPr>
      <w:r>
        <w:rPr>
          <w:rFonts w:hint="eastAsia" w:ascii="宋体" w:hAnsi="宋体"/>
          <w:sz w:val="24"/>
        </w:rPr>
        <w:t>三、技术要求：</w:t>
      </w:r>
    </w:p>
    <w:p w14:paraId="3F1490E4">
      <w:pPr>
        <w:spacing w:line="480" w:lineRule="auto"/>
        <w:ind w:firstLine="480" w:firstLineChars="200"/>
        <w:rPr>
          <w:rFonts w:hint="eastAsia" w:ascii="宋体" w:hAnsi="宋体"/>
          <w:bCs/>
          <w:color w:val="000000"/>
          <w:sz w:val="24"/>
        </w:rPr>
      </w:pPr>
      <w:r>
        <w:rPr>
          <w:rFonts w:hint="eastAsia" w:ascii="宋体" w:hAnsi="宋体"/>
          <w:bCs/>
          <w:color w:val="000000"/>
          <w:sz w:val="24"/>
        </w:rPr>
        <w:t>1.成交供应商提供的货物是正规品牌、正规厂家生产的合格全新产品（含零部件、配件等），符合或优于国家（行业）相关标准，满足本项目竞争性</w:t>
      </w:r>
      <w:r>
        <w:rPr>
          <w:rFonts w:hint="eastAsia" w:ascii="宋体" w:hAnsi="宋体"/>
          <w:bCs/>
          <w:color w:val="000000"/>
          <w:sz w:val="24"/>
          <w:lang w:val="en-US" w:eastAsia="zh-CN"/>
        </w:rPr>
        <w:t>谈判</w:t>
      </w:r>
      <w:r>
        <w:rPr>
          <w:rFonts w:hint="eastAsia" w:ascii="宋体" w:hAnsi="宋体"/>
          <w:bCs/>
          <w:color w:val="000000"/>
          <w:sz w:val="24"/>
        </w:rPr>
        <w:t>文件的质量要求和技术指标与出厂标准。如因提供伪劣产品或产品质量不符合本次采购项目要求所导致的一切后果和责任由成交供应商自行承担，并按照相关规定给予处理。</w:t>
      </w:r>
    </w:p>
    <w:p w14:paraId="23F729CB">
      <w:pPr>
        <w:spacing w:line="480" w:lineRule="auto"/>
        <w:ind w:firstLine="480" w:firstLineChars="200"/>
        <w:rPr>
          <w:rFonts w:hint="eastAsia" w:ascii="宋体" w:hAnsi="宋体"/>
          <w:bCs/>
          <w:color w:val="000000"/>
          <w:sz w:val="24"/>
        </w:rPr>
      </w:pPr>
      <w:r>
        <w:rPr>
          <w:rFonts w:hint="eastAsia" w:ascii="宋体" w:hAnsi="宋体"/>
          <w:bCs/>
          <w:color w:val="000000"/>
          <w:sz w:val="24"/>
        </w:rPr>
        <w:t>2.成交供应商应按采购文件规定的时间及质量要求交货，货物在送到使用单位时，且货物的表面无划伤、碰撞现象。并提供产品质量检验合格证、说明书及其它配套资料等。</w:t>
      </w:r>
    </w:p>
    <w:p w14:paraId="44BA7455">
      <w:pPr>
        <w:spacing w:line="480" w:lineRule="auto"/>
        <w:ind w:firstLine="480" w:firstLineChars="200"/>
        <w:rPr>
          <w:rFonts w:hint="eastAsia" w:ascii="宋体" w:hAnsi="宋体"/>
          <w:bCs/>
          <w:color w:val="000000"/>
          <w:sz w:val="24"/>
        </w:rPr>
      </w:pPr>
      <w:r>
        <w:rPr>
          <w:rFonts w:hint="eastAsia" w:ascii="宋体" w:hAnsi="宋体"/>
          <w:bCs/>
          <w:color w:val="000000"/>
          <w:sz w:val="24"/>
        </w:rPr>
        <w:t>★3.其他要求：</w:t>
      </w:r>
    </w:p>
    <w:p w14:paraId="51C8E6EF">
      <w:pPr>
        <w:spacing w:line="480" w:lineRule="auto"/>
        <w:ind w:firstLine="480" w:firstLineChars="200"/>
        <w:rPr>
          <w:rFonts w:hint="eastAsia" w:ascii="宋体" w:hAnsi="宋体"/>
          <w:sz w:val="24"/>
        </w:rPr>
      </w:pPr>
      <w:r>
        <w:rPr>
          <w:rFonts w:hint="eastAsia" w:ascii="宋体" w:hAnsi="宋体"/>
          <w:bCs/>
          <w:color w:val="000000"/>
          <w:sz w:val="24"/>
        </w:rPr>
        <w:t>3.1成交供应商还需根据采购人提供的调查评价成果及超标洪水预案成果完成村级、乡级、县级预案。</w:t>
      </w:r>
    </w:p>
    <w:p w14:paraId="650E9FBC">
      <w:pPr>
        <w:spacing w:line="480" w:lineRule="auto"/>
        <w:ind w:firstLine="480" w:firstLineChars="200"/>
        <w:jc w:val="left"/>
        <w:rPr>
          <w:rFonts w:hint="eastAsia"/>
          <w:sz w:val="24"/>
          <w:szCs w:val="20"/>
        </w:rPr>
      </w:pPr>
      <w:r>
        <w:rPr>
          <w:rFonts w:hint="eastAsia"/>
          <w:sz w:val="24"/>
          <w:szCs w:val="20"/>
        </w:rPr>
        <w:t>3.2编制要求：</w:t>
      </w:r>
    </w:p>
    <w:p w14:paraId="0B9816AF">
      <w:pPr>
        <w:spacing w:line="480" w:lineRule="auto"/>
        <w:ind w:firstLine="480" w:firstLineChars="200"/>
        <w:jc w:val="left"/>
        <w:rPr>
          <w:rFonts w:hint="eastAsia"/>
          <w:sz w:val="24"/>
          <w:szCs w:val="20"/>
        </w:rPr>
      </w:pPr>
      <w:r>
        <w:rPr>
          <w:rFonts w:hint="eastAsia"/>
          <w:sz w:val="24"/>
          <w:szCs w:val="20"/>
        </w:rPr>
        <w:t xml:space="preserve">3.2.1预案须根据《山洪灾害防御预案编制导则（SL/T666-2024）》要求。 </w:t>
      </w:r>
    </w:p>
    <w:p w14:paraId="6F04E43F">
      <w:pPr>
        <w:spacing w:line="480" w:lineRule="auto"/>
        <w:ind w:firstLine="480" w:firstLineChars="200"/>
        <w:jc w:val="left"/>
        <w:rPr>
          <w:rFonts w:hint="eastAsia"/>
          <w:sz w:val="24"/>
          <w:szCs w:val="20"/>
        </w:rPr>
      </w:pPr>
      <w:r>
        <w:rPr>
          <w:rFonts w:hint="eastAsia"/>
          <w:sz w:val="24"/>
          <w:szCs w:val="20"/>
        </w:rPr>
        <w:t>3.2.2编制内容：</w:t>
      </w:r>
    </w:p>
    <w:p w14:paraId="05BF0DAB">
      <w:pPr>
        <w:spacing w:line="480" w:lineRule="auto"/>
        <w:ind w:firstLine="480" w:firstLineChars="200"/>
        <w:jc w:val="left"/>
        <w:rPr>
          <w:sz w:val="24"/>
          <w:szCs w:val="20"/>
        </w:rPr>
      </w:pPr>
      <w:r>
        <w:rPr>
          <w:rFonts w:hint="eastAsia"/>
          <w:sz w:val="24"/>
          <w:szCs w:val="20"/>
        </w:rPr>
        <w:t>3.2.2.1县级、乡级预案应包括总则、基本情况、责任制体系、监测预警、响应行动、保障措施及相关附表附图。</w:t>
      </w:r>
    </w:p>
    <w:p w14:paraId="0DA91373">
      <w:pPr>
        <w:spacing w:line="480" w:lineRule="auto"/>
        <w:ind w:firstLine="480" w:firstLineChars="200"/>
        <w:jc w:val="left"/>
        <w:rPr>
          <w:rFonts w:hint="eastAsia"/>
          <w:sz w:val="24"/>
          <w:szCs w:val="20"/>
        </w:rPr>
      </w:pPr>
      <w:r>
        <w:rPr>
          <w:rFonts w:hint="eastAsia"/>
          <w:sz w:val="24"/>
          <w:szCs w:val="20"/>
        </w:rPr>
        <w:t>3.2.2.2村级预案应包括以下内容:山洪灾害危险区和山洪风险隐患、各防御责任人职责、预警指标、预警信息接收反馈及传递流程、转移避险地点、转移路线、转移人员和包保责任人花名册等信息。引用前期的危险区“两张图”，标明危险区范围、转移人员和包保责任人、避险地点、转移避险路线、山洪风险隐等基本信息。</w:t>
      </w:r>
    </w:p>
    <w:p w14:paraId="0CB67091">
      <w:pPr>
        <w:spacing w:line="480" w:lineRule="auto"/>
        <w:ind w:firstLine="480" w:firstLineChars="200"/>
        <w:jc w:val="left"/>
        <w:rPr>
          <w:sz w:val="24"/>
          <w:szCs w:val="20"/>
        </w:rPr>
      </w:pPr>
      <w:r>
        <w:rPr>
          <w:rFonts w:hint="eastAsia"/>
          <w:sz w:val="24"/>
          <w:szCs w:val="20"/>
        </w:rPr>
        <w:t>3.2.3编制原则：</w:t>
      </w:r>
      <w:r>
        <w:rPr>
          <w:sz w:val="24"/>
          <w:szCs w:val="20"/>
        </w:rPr>
        <w:t xml:space="preserve"> </w:t>
      </w:r>
    </w:p>
    <w:p w14:paraId="5DCF97CB">
      <w:pPr>
        <w:spacing w:line="480" w:lineRule="auto"/>
        <w:ind w:firstLine="480" w:firstLineChars="200"/>
        <w:jc w:val="left"/>
        <w:rPr>
          <w:sz w:val="24"/>
          <w:szCs w:val="20"/>
        </w:rPr>
      </w:pPr>
      <w:r>
        <w:rPr>
          <w:rFonts w:hint="eastAsia"/>
          <w:sz w:val="24"/>
          <w:szCs w:val="20"/>
        </w:rPr>
        <w:t>3.2.3.1应坚持以人为本、以避为要，以保障人民群众生命安全作为预案编制和执行的目标，以转移避险作为预案的主要措施。</w:t>
      </w:r>
    </w:p>
    <w:p w14:paraId="7BC66E59">
      <w:pPr>
        <w:spacing w:line="480" w:lineRule="auto"/>
        <w:ind w:firstLine="480" w:firstLineChars="200"/>
        <w:jc w:val="left"/>
        <w:rPr>
          <w:sz w:val="24"/>
          <w:szCs w:val="20"/>
        </w:rPr>
      </w:pPr>
      <w:r>
        <w:rPr>
          <w:rFonts w:hint="eastAsia"/>
          <w:sz w:val="24"/>
          <w:szCs w:val="20"/>
        </w:rPr>
        <w:t>3.2.3.2应坚持以防为主、专群结合，依托专业监测预警和群测群防相结合的防御体系，把“责任制体系、监测预警、转移避险”等作为预案编制重点。</w:t>
      </w:r>
    </w:p>
    <w:p w14:paraId="77473424">
      <w:pPr>
        <w:spacing w:line="480" w:lineRule="auto"/>
        <w:ind w:firstLine="480" w:firstLineChars="200"/>
        <w:jc w:val="left"/>
        <w:rPr>
          <w:sz w:val="24"/>
          <w:szCs w:val="20"/>
        </w:rPr>
      </w:pPr>
      <w:r>
        <w:rPr>
          <w:rFonts w:hint="eastAsia"/>
          <w:sz w:val="24"/>
          <w:szCs w:val="20"/>
        </w:rPr>
        <w:t>3.2.3.3应坚持职责明确、协同联动，明确山洪灾害防御各部门（单位）职责，通过预案建立健全部门间、县乡村联动机制。</w:t>
      </w:r>
    </w:p>
    <w:p w14:paraId="02B6DEF8">
      <w:pPr>
        <w:spacing w:line="480" w:lineRule="auto"/>
        <w:ind w:firstLine="480" w:firstLineChars="200"/>
        <w:jc w:val="left"/>
        <w:rPr>
          <w:sz w:val="24"/>
          <w:szCs w:val="20"/>
        </w:rPr>
      </w:pPr>
      <w:r>
        <w:rPr>
          <w:rFonts w:hint="eastAsia"/>
          <w:sz w:val="24"/>
          <w:szCs w:val="20"/>
        </w:rPr>
        <w:t>3.2.3.4应坚持实战导向、因地制宜，吸纳近年来山洪灾害防御的经验和教训，体现本地山洪灾害特点和防御实际。</w:t>
      </w:r>
    </w:p>
    <w:p w14:paraId="3C1D821B">
      <w:pPr>
        <w:spacing w:line="480" w:lineRule="auto"/>
        <w:ind w:firstLine="480" w:firstLineChars="200"/>
        <w:jc w:val="left"/>
        <w:rPr>
          <w:sz w:val="24"/>
          <w:szCs w:val="20"/>
        </w:rPr>
      </w:pPr>
      <w:r>
        <w:rPr>
          <w:rFonts w:hint="eastAsia"/>
          <w:sz w:val="24"/>
          <w:szCs w:val="20"/>
        </w:rPr>
        <w:t>3.2.3.5应坚持简洁明了、务实管用，并具有针对性、可操作性。宜图表结合，宜简不宜繁。</w:t>
      </w:r>
    </w:p>
    <w:p w14:paraId="20036029">
      <w:pPr>
        <w:sectPr>
          <w:pgSz w:w="11906" w:h="16838"/>
          <w:pgMar w:top="1440" w:right="1800" w:bottom="1440" w:left="1800" w:header="851" w:footer="992" w:gutter="0"/>
          <w:cols w:space="720" w:num="1"/>
          <w:docGrid w:type="lines" w:linePitch="312" w:charSpace="0"/>
        </w:sectPr>
      </w:pPr>
    </w:p>
    <w:p w14:paraId="3D2E0B7A">
      <w:pPr>
        <w:spacing w:line="480" w:lineRule="auto"/>
        <w:jc w:val="left"/>
        <w:rPr>
          <w:rFonts w:hint="eastAsia" w:ascii="宋体" w:hAnsi="宋体"/>
          <w:sz w:val="24"/>
        </w:rPr>
      </w:pPr>
    </w:p>
    <w:p w14:paraId="4FAAF3DC">
      <w:pPr>
        <w:spacing w:line="480" w:lineRule="auto"/>
        <w:ind w:firstLine="480" w:firstLineChars="200"/>
        <w:jc w:val="left"/>
        <w:rPr>
          <w:rFonts w:ascii="宋体" w:hAnsi="宋体"/>
          <w:b/>
          <w:bCs/>
          <w:sz w:val="24"/>
        </w:rPr>
      </w:pPr>
      <w:r>
        <w:rPr>
          <w:rFonts w:hint="eastAsia" w:ascii="宋体" w:hAnsi="宋体"/>
          <w:sz w:val="24"/>
        </w:rPr>
        <w:t>四、商务要求：</w:t>
      </w:r>
    </w:p>
    <w:p w14:paraId="54737BB0">
      <w:pPr>
        <w:spacing w:line="480" w:lineRule="auto"/>
        <w:ind w:firstLine="480" w:firstLineChars="200"/>
        <w:rPr>
          <w:rFonts w:hint="eastAsia" w:ascii="宋体" w:hAnsi="宋体"/>
          <w:bCs/>
          <w:color w:val="000000"/>
          <w:sz w:val="24"/>
        </w:rPr>
      </w:pPr>
      <w:r>
        <w:rPr>
          <w:rFonts w:hint="eastAsia" w:ascii="宋体" w:hAnsi="宋体"/>
          <w:bCs/>
          <w:color w:val="000000"/>
          <w:sz w:val="24"/>
        </w:rPr>
        <w:t>1.交货期：合同签订后30日内完成交货和预案编制并通过采购人验收。</w:t>
      </w:r>
    </w:p>
    <w:p w14:paraId="03E83F25">
      <w:pPr>
        <w:spacing w:line="480" w:lineRule="auto"/>
        <w:ind w:firstLine="480" w:firstLineChars="200"/>
        <w:rPr>
          <w:rFonts w:hint="eastAsia" w:ascii="宋体" w:hAnsi="宋体"/>
          <w:bCs/>
          <w:color w:val="000000"/>
          <w:sz w:val="24"/>
        </w:rPr>
      </w:pPr>
      <w:r>
        <w:rPr>
          <w:rFonts w:hint="eastAsia" w:ascii="宋体" w:hAnsi="宋体"/>
          <w:bCs/>
          <w:color w:val="000000"/>
          <w:sz w:val="24"/>
        </w:rPr>
        <w:t>2.交货地点：采购人指定地点。</w:t>
      </w:r>
    </w:p>
    <w:p w14:paraId="1C5C439F">
      <w:pPr>
        <w:spacing w:line="480" w:lineRule="auto"/>
        <w:ind w:firstLine="480" w:firstLineChars="200"/>
        <w:rPr>
          <w:rFonts w:hint="eastAsia" w:ascii="宋体" w:hAnsi="宋体"/>
          <w:bCs/>
          <w:color w:val="000000"/>
          <w:sz w:val="24"/>
        </w:rPr>
      </w:pPr>
      <w:r>
        <w:rPr>
          <w:rFonts w:hint="eastAsia" w:ascii="宋体" w:hAnsi="宋体"/>
          <w:bCs/>
          <w:color w:val="000000"/>
          <w:sz w:val="24"/>
        </w:rPr>
        <w:t>★3.报价要求：本次投标报价包括实施和完成本项目所需的货物成本、人工、运输、预案编制、税金、招标代理费等与本项目相关的一切费用，采购人不再支付其它任何费用。</w:t>
      </w:r>
    </w:p>
    <w:p w14:paraId="05CA8F40">
      <w:pPr>
        <w:spacing w:line="480" w:lineRule="auto"/>
        <w:ind w:firstLine="480" w:firstLineChars="200"/>
        <w:rPr>
          <w:rFonts w:hint="eastAsia" w:ascii="宋体" w:hAnsi="宋体"/>
          <w:bCs/>
          <w:color w:val="000000"/>
          <w:sz w:val="24"/>
        </w:rPr>
      </w:pPr>
      <w:r>
        <w:rPr>
          <w:rFonts w:hint="eastAsia" w:ascii="宋体" w:hAnsi="宋体"/>
          <w:bCs/>
          <w:color w:val="000000"/>
          <w:sz w:val="24"/>
        </w:rPr>
        <w:t>4.付款方式：双方合同中约定。</w:t>
      </w:r>
    </w:p>
    <w:p w14:paraId="6022E3E8">
      <w:pPr>
        <w:spacing w:line="480" w:lineRule="auto"/>
        <w:ind w:firstLine="480" w:firstLineChars="200"/>
        <w:rPr>
          <w:rFonts w:hint="eastAsia" w:ascii="宋体" w:hAnsi="宋体"/>
          <w:bCs/>
          <w:color w:val="000000"/>
          <w:sz w:val="24"/>
        </w:rPr>
      </w:pPr>
      <w:r>
        <w:rPr>
          <w:rFonts w:hint="eastAsia" w:ascii="宋体" w:hAnsi="宋体"/>
          <w:bCs/>
          <w:color w:val="000000"/>
          <w:sz w:val="24"/>
        </w:rPr>
        <w:t>5.验收方式：严格参照《财政部关于进一步加强政府采购需求和履约验收管理的指导意见》（财库〔2016〕205 号）要求进行验收。</w:t>
      </w:r>
    </w:p>
    <w:p w14:paraId="03449155">
      <w:pPr>
        <w:spacing w:line="480" w:lineRule="auto"/>
        <w:ind w:firstLine="480" w:firstLineChars="200"/>
        <w:rPr>
          <w:rFonts w:hint="eastAsia" w:ascii="宋体" w:hAnsi="宋体"/>
          <w:bCs/>
          <w:color w:val="000000"/>
          <w:sz w:val="24"/>
        </w:rPr>
      </w:pPr>
      <w:r>
        <w:rPr>
          <w:rFonts w:hint="eastAsia" w:ascii="宋体" w:hAnsi="宋体"/>
          <w:bCs/>
          <w:color w:val="000000"/>
          <w:sz w:val="24"/>
        </w:rPr>
        <w:t>★6.安全要求：项目实施过程中一切安全责任由成交供应商自行承担。</w:t>
      </w:r>
    </w:p>
    <w:p w14:paraId="1DDCA6DD">
      <w:pPr>
        <w:spacing w:line="480" w:lineRule="auto"/>
        <w:ind w:firstLine="480" w:firstLineChars="200"/>
        <w:rPr>
          <w:rFonts w:hint="eastAsia" w:ascii="宋体" w:hAnsi="宋体"/>
          <w:bCs/>
          <w:color w:val="000000"/>
          <w:sz w:val="24"/>
        </w:rPr>
      </w:pPr>
      <w:r>
        <w:rPr>
          <w:rFonts w:hint="eastAsia" w:ascii="宋体" w:hAnsi="宋体"/>
          <w:bCs/>
          <w:color w:val="000000"/>
          <w:sz w:val="24"/>
        </w:rPr>
        <w:t>7.售后服务：</w:t>
      </w:r>
    </w:p>
    <w:p w14:paraId="50764866">
      <w:pPr>
        <w:spacing w:line="480" w:lineRule="auto"/>
        <w:ind w:firstLine="480" w:firstLineChars="200"/>
        <w:rPr>
          <w:rFonts w:hint="eastAsia" w:ascii="宋体" w:hAnsi="宋体"/>
          <w:bCs/>
          <w:color w:val="000000"/>
          <w:sz w:val="24"/>
        </w:rPr>
      </w:pPr>
      <w:r>
        <w:rPr>
          <w:rFonts w:hint="eastAsia" w:ascii="宋体" w:hAnsi="宋体"/>
          <w:bCs/>
          <w:color w:val="000000"/>
          <w:sz w:val="24"/>
        </w:rPr>
        <w:t>★7.1</w:t>
      </w:r>
      <w:r>
        <w:rPr>
          <w:rFonts w:ascii="宋体" w:hAnsi="宋体" w:cs="宋体"/>
          <w:sz w:val="24"/>
        </w:rPr>
        <w:t>本项目采购的货物质保期为</w:t>
      </w:r>
      <w:r>
        <w:rPr>
          <w:rFonts w:hint="eastAsia" w:ascii="宋体" w:hAnsi="宋体" w:cs="宋体"/>
          <w:sz w:val="24"/>
        </w:rPr>
        <w:t>1</w:t>
      </w:r>
      <w:r>
        <w:rPr>
          <w:rFonts w:ascii="宋体" w:hAnsi="宋体" w:cs="宋体"/>
          <w:sz w:val="24"/>
        </w:rPr>
        <w:t>年。质保期内，非人为因素而出现的质量问题，成交供应商负责包修、包换，承担一切费用；人为因素、自然因素（如火灾等）造成损坏的，成交供应商进行维修时，仅收材料费。</w:t>
      </w:r>
    </w:p>
    <w:p w14:paraId="142A33F9">
      <w:pPr>
        <w:spacing w:line="480" w:lineRule="auto"/>
        <w:ind w:firstLine="480" w:firstLineChars="200"/>
        <w:rPr>
          <w:rFonts w:ascii="宋体" w:hAnsi="宋体"/>
          <w:bCs/>
          <w:color w:val="000000"/>
          <w:sz w:val="24"/>
        </w:rPr>
      </w:pPr>
      <w:r>
        <w:rPr>
          <w:rFonts w:hint="eastAsia" w:ascii="宋体" w:hAnsi="宋体"/>
          <w:bCs/>
          <w:color w:val="000000"/>
          <w:sz w:val="24"/>
        </w:rPr>
        <w:t>7.2供应商须有专人负责与采购人联系售后服务事宜。</w:t>
      </w:r>
    </w:p>
    <w:p w14:paraId="0E2F0A5D">
      <w:pPr>
        <w:spacing w:line="480" w:lineRule="auto"/>
        <w:ind w:firstLine="480" w:firstLineChars="200"/>
        <w:rPr>
          <w:rFonts w:ascii="宋体" w:hAnsi="宋体"/>
          <w:bCs/>
          <w:color w:val="000000"/>
          <w:sz w:val="24"/>
        </w:rPr>
      </w:pPr>
      <w:r>
        <w:rPr>
          <w:rFonts w:hint="eastAsia" w:ascii="宋体" w:hAnsi="宋体"/>
          <w:bCs/>
          <w:color w:val="000000"/>
          <w:sz w:val="24"/>
        </w:rPr>
        <w:t>7.3成交供应商接到采购人通知后，需在30分钟内响应，1小时内到达现场进行处理。</w:t>
      </w:r>
    </w:p>
    <w:p w14:paraId="3EC7D9BF">
      <w:pPr>
        <w:spacing w:line="480" w:lineRule="auto"/>
        <w:ind w:firstLine="482" w:firstLineChars="200"/>
        <w:rPr>
          <w:rFonts w:hint="eastAsia" w:ascii="宋体" w:hAnsi="宋体" w:cs="宋体"/>
          <w:b/>
          <w:bCs/>
          <w:sz w:val="24"/>
        </w:rPr>
      </w:pPr>
    </w:p>
    <w:p w14:paraId="79277432">
      <w:pPr>
        <w:spacing w:line="480" w:lineRule="auto"/>
        <w:ind w:firstLine="482" w:firstLineChars="200"/>
        <w:sectPr>
          <w:pgSz w:w="11906" w:h="16838"/>
          <w:pgMar w:top="1440" w:right="1800" w:bottom="1440" w:left="1800" w:header="851" w:footer="992" w:gutter="0"/>
          <w:cols w:space="720" w:num="1"/>
          <w:docGrid w:type="lines" w:linePitch="312" w:charSpace="0"/>
        </w:sectPr>
      </w:pPr>
      <w:r>
        <w:rPr>
          <w:rFonts w:hint="eastAsia" w:ascii="宋体" w:hAnsi="宋体" w:cs="宋体"/>
          <w:b/>
          <w:bCs/>
          <w:sz w:val="24"/>
        </w:rPr>
        <w:t>注：以上要求带★的为本项目的实质性要求，必须满足，否则作无效投标处理</w:t>
      </w:r>
      <w:bookmarkStart w:id="4" w:name="_GoBack"/>
      <w:bookmarkEnd w:id="4"/>
    </w:p>
    <w:bookmarkEnd w:id="0"/>
    <w:bookmarkEnd w:id="1"/>
    <w:bookmarkEnd w:id="2"/>
    <w:bookmarkEnd w:id="3"/>
    <w:p w14:paraId="576C92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E4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Text"/>
    <w:basedOn w:val="1"/>
    <w:qFormat/>
    <w:uiPriority w:val="0"/>
    <w:pPr>
      <w:widowControl/>
      <w:spacing w:before="60" w:after="60"/>
      <w:jc w:val="left"/>
    </w:pPr>
    <w:rPr>
      <w:rFonts w:ascii="宋体"/>
      <w:kern w:val="0"/>
      <w:sz w:val="3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2025-11-20T09:24:05Z</dcterms:created>
  <dc:creator>Administrator</dc:creator>
  <cp:lastModifiedBy>1</cp:lastModifiedBy>
  <dcterms:modified xsi:type="dcterms:W3CDTF">2025-11-20T09:24:44Z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eyJoZGlkIjoiN2JhZTE1NTI0YzMyZGU5NDhiOTk1MjA0NjZlOGJkNTciLCJ1c2VySWQiOiIxMjExMDE3OTg5In0=</vt:lpwstr>
  </property>
  <property fmtid="{D5CDD505-2E9C-101B-9397-08002B2CF9AE}" pid="4" name="ICV">
    <vt:lpwstr>54ADEF17ACBD4E80A2DCD7956D3AE897_12</vt:lpwstr>
  </property>
</Properties>
</file>